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Nondirective Teaching</w:t>
      </w:r>
    </w:p>
    <w:p>
      <w:pPr>
        <w:pStyle w:val="WorksheetSubtitle"/>
      </w:pPr>
      <w:r>
        <w:t>Use careful prompts and reflection instead of telling students what to think.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096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STUDENT SITUATION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issue, text, or experience is the student bringing?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TEACHER PROMPTS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open prompts will invite reflection instead of takeover?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240" w:hRule="atLeast"/>
        </w:trPr>
        <w:tc>
          <w:tcPr>
            <w:tcW w:type="dxa" w:w="14400"/>
            <w:gridSpan w:val="2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NEW INSIGHT / NEXT STEP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the learner realize or decide to do next?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Nondirective Teaching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Nondirective Teaching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