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Role-Play / Drama</w:t>
      </w:r>
    </w:p>
    <w:p>
      <w:pPr>
        <w:pStyle w:val="WorksheetSubtitle"/>
      </w:pPr>
      <w:r>
        <w:t>Use a role, scene, or perspective to rehearse understanding in action.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00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23"/>
        <w:gridCol w:w="6624"/>
        <w:gridCol w:w="691"/>
        <w:gridCol w:w="5962"/>
      </w:tblGrid>
      <w:tr>
        <w:trPr>
          <w:trHeight w:val="490" w:hRule="atLeast"/>
        </w:trPr>
        <w:tc>
          <w:tcPr>
            <w:tcW w:type="dxa" w:w="1123"/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>TOPIC / TASK</w:t>
            </w:r>
          </w:p>
        </w:tc>
        <w:tc>
          <w:tcPr>
            <w:tcW w:type="dxa" w:w="6624"/>
            <w:tcBorders>
              <w:bottom w:val="single" w:sz="5" w:space="0" w:color="A9BAC4"/>
            </w:tcBorders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</w:tc>
        <w:tc>
          <w:tcPr>
            <w:tcW w:type="dxa" w:w="691"/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>NAME</w:t>
            </w:r>
          </w:p>
        </w:tc>
        <w:tc>
          <w:tcPr>
            <w:tcW w:type="dxa" w:w="5962"/>
            <w:tcBorders>
              <w:bottom w:val="single" w:sz="5" w:space="0" w:color="A9BAC4"/>
            </w:tcBorders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</w:tc>
      </w:tr>
    </w:tbl>
    <w:p>
      <w:pPr>
        <w:spacing w:before="0" w:after="0" w:line="120" w:lineRule="exact"/>
      </w:pPr>
      <w:r>
        <w:rPr>
          <w:rFonts w:ascii="Arial" w:hAnsi="Arial"/>
          <w:b w:val="0"/>
          <w:color w:val="FFFFFF"/>
          <w:sz w:val="2"/>
        </w:rPr>
        <w:t xml:space="preserve"> </w:t>
      </w:r>
    </w:p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3024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ROLE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Who or what perspective is being played?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SCENE / PROBLEM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situation should the scene surface?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OBSERVER NOTES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should listeners watch for?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312" w:hRule="atLeast"/>
        </w:trPr>
        <w:tc>
          <w:tcPr>
            <w:tcW w:type="dxa" w:w="14430"/>
            <w:gridSpan w:val="3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DEBRIEF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How did the role-play change your understanding of the issue?</w:t>
            </w:r>
          </w:p>
          <w:tbl>
            <w:tblPr>
              <w:tblW w:type="dxa" w:w="14026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026"/>
            </w:tblGrid>
            <w:tr>
              <w:trPr>
                <w:trHeight w:val="4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Role-Play / Drama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Role-Play / Drama</dc:title>
  <dc:subject>Editable classroom companion worksheet</dc:subject>
  <dc:creator>Instructional Intelligence</dc:creator>
  <cp:keywords>instructional models,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