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Team-Based Learning</w:t>
      </w:r>
    </w:p>
    <w:p>
      <w:pPr>
        <w:pStyle w:val="WorksheetSubtitle"/>
      </w:pPr>
      <w:r>
        <w:t>Blend preparation, readiness checks, and team application tasks.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PREPARE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students read or review first?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READINESS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individual or team check will you use?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APPLICATION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team decision or problem should follow?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ACCOUNTABILITY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individuals still be responsible inside the team?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Team-Based Learning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Team-Based Learning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