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Workshop Model</w:t>
      </w:r>
    </w:p>
    <w:p>
      <w:pPr>
        <w:pStyle w:val="WorksheetSubtitle"/>
      </w:pPr>
      <w:r>
        <w:t>Use a short mini-lesson, work time, conferring, and a share.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53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MINI-LESSON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focused teaching point starts the work?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WORK TIME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meaningful independent or collaborative work follows?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CONFERRING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you coach during work time?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53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SHARE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will students reflect or share?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NOTICINGS FROM STUDENTS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patterns or needs did you notice?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NEXT STEP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should happen next in tomorrow's mini-lesson or conference?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Workshop Model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Model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