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Retrieval Practice</w:t>
      </w:r>
    </w:p>
    <w:p>
      <w:pPr>
        <w:pStyle w:val="WorksheetSubtitle"/>
      </w:pPr>
      <w:r>
        <w:t>Produce what you know before looking back at the source.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5400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FROM MEMORY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Close notes. Write, sketch, list, solve, or explain everything you can retrieve.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CHECK + CORRECT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Open your source. Add missing ideas and correct errors in a different colour.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90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4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5904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88"/>
        <w:gridCol w:w="3816"/>
      </w:tblGrid>
      <w:tr>
        <w:trPr>
          <w:trHeight w:val="432" w:hRule="atLeast"/>
        </w:trPr>
        <w:tc>
          <w:tcPr>
            <w:tcW w:type="dxa" w:w="208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7761B5"/>
                <w:sz w:val="13"/>
              </w:rPr>
              <w:t>NEXT RETRIEVAL DATE:</w:t>
            </w:r>
          </w:p>
        </w:tc>
        <w:tc>
          <w:tcPr>
            <w:tcW w:type="dxa" w:w="3816"/>
            <w:tcBorders>
              <w:bottom w:val="single" w:sz="5" w:space="0" w:color="A9BAC4"/>
            </w:tcBorders>
          </w:tcPr>
          <w:p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Retrieval Practice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Practice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