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Worked Examples: Model -&gt; Fade -&gt; Solve</w:t>
      </w:r>
    </w:p>
    <w:p>
      <w:pPr>
        <w:pStyle w:val="WorksheetSubtitle"/>
      </w:pPr>
      <w:r>
        <w:t>Study a complete model, explain it, then gradually remove support.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80" w:after="100" w:line="240" w:lineRule="auto"/>
      </w:pPr>
      <w:r>
        <w:rPr>
          <w:rFonts w:ascii="Arial" w:hAnsi="Arial"/>
          <w:b/>
          <w:color w:val="687B89"/>
          <w:sz w:val="12"/>
        </w:rPr>
        <w:t xml:space="preserve">TOPIC / TASK  </w:t>
      </w:r>
      <w:r>
        <w:rPr>
          <w:rFonts w:ascii="Arial" w:hAnsi="Arial"/>
          <w:b w:val="0"/>
          <w:color w:val="A9BAC4"/>
          <w:sz w:val="12"/>
        </w:rPr>
        <w:t>__________________________________________________________________________________________________________</w:t>
      </w:r>
      <w:r>
        <w:rPr>
          <w:rFonts w:ascii="Arial" w:hAnsi="Arial"/>
          <w:b/>
          <w:color w:val="687B89"/>
          <w:sz w:val="12"/>
        </w:rPr>
        <w:t xml:space="preserve">   NAME  </w:t>
      </w:r>
      <w:r>
        <w:rPr>
          <w:rFonts w:ascii="Arial" w:hAnsi="Arial"/>
          <w:b w:val="0"/>
          <w:color w:val="A9BAC4"/>
          <w:sz w:val="12"/>
        </w:rPr>
        <w:t>________________________________________________</w:t>
      </w:r>
    </w:p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2059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STUDY THE WORKED EXAMPLE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Annotate what each step does and why it is valid. Do not merely copy it.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059" w:hRule="atLeast"/>
        </w:trPr>
        <w:tc>
          <w:tcPr>
            <w:tcW w:type="dxa" w:w="14429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2. FADED EXAMPLE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Some steps are supplied; complete and explain the missing steps.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059" w:hRule="atLeast"/>
        </w:trPr>
        <w:tc>
          <w:tcPr>
            <w:tcW w:type="dxa" w:w="14429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3. INDEPENDENT PROBLEM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Solve a similar problem without the model. Compare methods afterward.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Worked Examples: Model -&gt; Fade -&gt; Solve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Worked Examples: Model -&gt; Fade -&gt; Solve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