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Card Sort</w:t>
      </w:r>
    </w:p>
    <w:p>
      <w:pPr>
        <w:pStyle w:val="WorksheetSubtitle"/>
      </w:pPr>
      <w:r>
        <w:t>Sort examples or representations and defend the sorting rule.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1469" w:hRule="atLeast"/>
        </w:trPr>
        <w:tc>
          <w:tcPr>
            <w:tcW w:type="dxa" w:w="14430"/>
            <w:gridSpan w:val="3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SORT RULE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categories or relationships are students sorting for?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909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GROUP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Place or sketch the cards that belong here.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GROUP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Place or sketch the cards that belong here.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GROUP 3 / EXCEPTIONS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Place the cards here and note the exception rule if needed.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728" w:hRule="atLeast"/>
        </w:trPr>
        <w:tc>
          <w:tcPr>
            <w:tcW w:type="dxa" w:w="14430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WHY THIS SORT WORKS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rule, pattern, or relationship you used.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Card Sort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Sort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