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MLR2 - Collect and Display</w:t>
      </w:r>
    </w:p>
    <w:p>
      <w:pPr>
        <w:pStyle w:val="WorksheetSubtitle"/>
      </w:pPr>
      <w:r>
        <w:t>Gather student language and make it visible for the whole class.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518" w:hRule="atLeast"/>
        </w:trPr>
        <w:tc>
          <w:tcPr>
            <w:tcW w:type="dxa" w:w="7214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</w:t>
            </w:r>
          </w:p>
        </w:tc>
        <w:tc>
          <w:tcPr>
            <w:tcW w:type="dxa" w:w="7214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  <w:tr>
        <w:trPr>
          <w:trHeight w:val="3312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COLLECT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Capture student words, phrases, or representations.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DISPLAY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Organize them so the class can reuse the language.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592" w:hRule="atLeast"/>
        </w:trPr>
        <w:tc>
          <w:tcPr>
            <w:tcW w:type="dxa" w:w="14428"/>
            <w:gridSpan w:val="2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WHAT TO REUSE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Which language or representation became most helpful?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403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MLR2 - Collect and Display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MLR2 - Collect and Display</dc:title>
  <dc:subject>Editable classroom companion worksheet</dc:subject>
  <dc:creator>Instructional Intelligence</dc:creator>
  <cp:keywords>mathematics, science, routines,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