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MLR4 - Information Gap</w:t>
      </w:r>
    </w:p>
    <w:p>
      <w:pPr>
        <w:pStyle w:val="WorksheetSubtitle"/>
      </w:pPr>
      <w:r>
        <w:t>Use complementary information so partners must communicate to solve.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18" w:hRule="atLeast"/>
        </w:trPr>
        <w:tc>
          <w:tcPr>
            <w:tcW w:type="dxa" w:w="9620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4810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6250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PARTNER A INFO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Information available only to partner A.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PARTNER B INFO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Information available only to partner B.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SHARED SOLUTION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the partners solve together?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MLR4 - Information Gap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MLR4 - Information Gap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