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MLR6 - Three Reads</w:t>
      </w:r>
    </w:p>
    <w:p>
      <w:pPr>
        <w:pStyle w:val="WorksheetSubtitle"/>
      </w:pPr>
      <w:r>
        <w:t>Read a problem more than once for context, quantities, and relationships.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518" w:hRule="atLeast"/>
        </w:trPr>
        <w:tc>
          <w:tcPr>
            <w:tcW w:type="dxa" w:w="9620"/>
            <w:gridSpan w:val="2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</w:t>
            </w:r>
          </w:p>
        </w:tc>
        <w:tc>
          <w:tcPr>
            <w:tcW w:type="dxa" w:w="4810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  <w:tr>
        <w:trPr>
          <w:trHeight w:val="6250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READ 1 - CONTEXT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happening?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READ 2 - QUANTITIES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quantities or units matter?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READ 3 - RELATIONSHIPS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do the quantities connect?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MLR6 - Three Reads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MLR6 - Three Reads</dc:title>
  <dc:subject>Editable classroom companion worksheet</dc:subject>
  <dc:creator>Instructional Intelligence</dc:creator>
  <cp:keywords>mathematics, science, routines,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