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MLR8 - Discussion Supports</w:t>
      </w:r>
    </w:p>
    <w:p>
      <w:pPr>
        <w:pStyle w:val="WorksheetSubtitle"/>
      </w:pPr>
      <w:r>
        <w:t>Use talk supports so more students can join and sustain math discussion.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18" w:hRule="atLeast"/>
        </w:trPr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3312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TALK STEMS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Words or sentence frames students can borrow.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IDEA TRACKER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ideas from the discussion.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592" w:hRule="atLeast"/>
        </w:trPr>
        <w:tc>
          <w:tcPr>
            <w:tcW w:type="dxa" w:w="14428"/>
            <w:gridSpan w:val="2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WHO ELSE CAN SPEAK?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you widen participation?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MLR8 - Discussion Supports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MLR8 - Discussion Supports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