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Which One Doesn't Belong?</w:t>
      </w:r>
    </w:p>
    <w:p>
      <w:pPr>
        <w:pStyle w:val="WorksheetSubtitle"/>
      </w:pPr>
      <w:r>
        <w:t>Choose the item that does not belong and justify the rule.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2275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OPTION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Sketch, paste, or describe the option here.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OPTION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Sketch, paste, or describe the option here.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275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OPTION C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Sketch, paste, or describe the option here.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OPTION 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Sketch, paste, or describe the option here.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728" w:hRule="atLeast"/>
        </w:trPr>
        <w:tc>
          <w:tcPr>
            <w:tcW w:type="dxa" w:w="14428"/>
            <w:gridSpan w:val="2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WHICH ONE DOESN'T BELONG? WHY?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More than one answer can be valid if the reasoning is clear.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Which One Doesn't Belong?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One Doesn't Belong?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