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Dictation &amp; Reconstruction</w:t>
      </w:r>
    </w:p>
    <w:p>
      <w:pPr>
        <w:pStyle w:val="WorksheetSubtitle"/>
      </w:pPr>
      <w:r>
        <w:t>Listen for meaning, capture key language, reconstruct collaboratively, then compare.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73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LISTEN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Focus on overall meaning.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2. KEY NOTES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Capture words / phrases only.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3. RECONSTRUCT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Build the text with a partner.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31" w:hRule="atLeast"/>
        </w:trPr>
        <w:tc>
          <w:tcPr>
            <w:tcW w:type="dxa" w:w="14430"/>
            <w:gridSpan w:val="3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PARTNER RECONSTRUCTION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your combined notes. Aim for meaning and accurate language, not perfect memorization.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99" w:hRule="atLeast"/>
        </w:trPr>
        <w:tc>
          <w:tcPr>
            <w:tcW w:type="dxa" w:w="14430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COMPARE + REVISE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Compare with the source. What language choices or structures did you notice?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Dictation &amp; Reconstruction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Dictation &amp; Reconstruction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