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Realia &amp; Manipulatives</w:t>
      </w:r>
    </w:p>
    <w:p>
      <w:pPr>
        <w:pStyle w:val="WorksheetSubtitle"/>
      </w:pPr>
      <w:r>
        <w:t>Use real objects to make language and content more concrete, then move toward independence.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2419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OBJECT / MANIPULATIVE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it? Handle, inspect, measure, sort, or position it.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WORDS + PHRASES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Names, attributes, actions, comparisons, and useful sentence stems.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419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NOTICE / COMPARE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observe? How is it similar or different?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USE THE LANGUAGE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Explain, describe, classify, sequence, or solve using the object.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526" w:hRule="atLeast"/>
        </w:trPr>
        <w:tc>
          <w:tcPr>
            <w:tcW w:type="dxa" w:w="14428"/>
            <w:gridSpan w:val="2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TRANSFER WITHOUT THE OBJECT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Can you explain or apply the idea when the concrete support is removed?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89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Realia &amp; Manipulatives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Realia &amp; Manipulatives</dc:title>
  <dc:subject>Editable classroom companion worksheet</dc:subject>
  <dc:creator>Instructional Intelligence</dc:creator>
  <cp:keywords>multilingual learners, language support,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