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CIRC - Reading &amp; Writing Team Sheet</w:t>
      </w:r>
    </w:p>
    <w:p>
      <w:pPr>
        <w:pStyle w:val="WorksheetSubtitle"/>
      </w:pPr>
      <w:r>
        <w:t>Use cooperative support while keeping individual reading and writing visible.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READING FOCUS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Text / section / purpose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PARTNER READING / SUMMARY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did we clarify or summarize?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VOCABULARY / WORD WORK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Words that matter to meaning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24" w:hRule="atLeast"/>
        </w:trPr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INDIVIDUAL WRITING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My own explanation / response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PEER REVISION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Feedback I received / used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49A12"/>
              <w:left w:val="single" w:sz="14" w:space="0" w:color="D49A12"/>
              <w:bottom w:val="single" w:sz="14" w:space="0" w:color="D49A12"/>
              <w:right w:val="single" w:sz="14" w:space="0" w:color="D49A12"/>
            </w:tcBorders>
            <w:shd w:val="clear" w:color="auto" w:fill="FDF8ED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49A12"/>
                <w:sz w:val="16"/>
              </w:rPr>
              <w:t>INDIVIDUAL CHECK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can I now do independently?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CIRC - Reading &amp; Writing Team Sheet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 - Reading &amp; Writing Team Sheet</dc:title>
  <dc:subject>Editable classroom companion worksheet</dc:subject>
  <dc:creator>Instructional Intelligence</dc:creator>
  <cp:keywords>reading, literacy,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