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Inductive Thinking</w:t>
      </w:r>
    </w:p>
    <w:p>
      <w:pPr>
        <w:pStyle w:val="WorksheetSubtitle"/>
      </w:pPr>
      <w:r>
        <w:t>Build categories and relationships from data before settling on labels or generalizations.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FOCUS / DATA SET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FORM CONCEPTS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or examine the data. Group items by shared attributes. Only then develop labels.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2. INTERPRET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Look for relationships among groups. Explain patterns, compare, and infer.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3. APPLY / GENERALIZE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Use the relationships to predict, test, explain, transfer, or examine exceptions.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Inductive Thinking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Inductive Thinking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