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Right-Angle Thinking</w:t>
      </w:r>
    </w:p>
    <w:p>
      <w:pPr>
        <w:pStyle w:val="WorksheetSubtitle"/>
      </w:pPr>
      <w:r>
        <w:t>Record important information, then move at a right angle into associations, implications, or questions.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SOURCE / TOPIC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5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283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4"/>
              </w:rPr>
              <w:t>INTERESTING / IMPORTANT INFORMATION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Facts, details, quotations, observations, data, or ideas worth keeping.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</w:tcPr>
          <w:p/>
        </w:tc>
      </w:tr>
      <w:tr>
        <w:trPr>
          <w:trHeight w:val="3283" w:hRule="atLeast"/>
        </w:trPr>
        <w:tc>
          <w:tcPr>
            <w:tcW w:type="dxa" w:w="7214"/>
          </w:tcPr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ASSOCIATED THINKING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Connections, implications, questions, feelings, applications, or new ideas triggered by the information.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Right-Angle Thinking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Right-Angle Thinking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