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See - Think - Wonder</w:t>
      </w:r>
    </w:p>
    <w:p>
      <w:pPr>
        <w:pStyle w:val="WorksheetSubtitle"/>
      </w:pPr>
      <w:r>
        <w:t>Separate observation from interpretation, then turn curiosity into questions.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SEE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details can you describe without explaining them?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THINK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might those details mean? What interpretation fits the evidence?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WONDER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questions, puzzles, or next investigations does this raise?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See - Think - Wonder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 - Think - Wonder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