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Synectics</w:t>
      </w:r>
    </w:p>
    <w:p>
      <w:pPr>
        <w:pStyle w:val="WorksheetSubtitle"/>
      </w:pPr>
      <w:r>
        <w:t>Use deliberately unusual analogies to loosen fixed thinking and generate new ways to understand or solve a problem.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CONCEPT / PROBLEM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1699" w:hRule="atLeast"/>
        </w:trPr>
        <w:tc>
          <w:tcPr>
            <w:tcW w:type="dxa" w:w="14428"/>
            <w:gridSpan w:val="2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STARTING CONCEPT OR PROBLEM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State the real problem clearly.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60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89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DIRECT ANALOGY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unrelated thing works in a similar way?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PERSONAL ANALOGY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If you were inside the problem, what would you feel, want, or do?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89" w:hRule="atLeast"/>
        </w:trPr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SYMBOLIC ANALOGY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short image, contradiction, or metaphor captures its essence?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FANTASY ANALOGY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If normal limits vanished, what impossible solution or version could exist?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382" w:hRule="atLeast"/>
        </w:trPr>
        <w:tc>
          <w:tcPr>
            <w:tcW w:type="dxa" w:w="14428"/>
            <w:gridSpan w:val="2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RETURN TO THE REAL PROBLEM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analogy gives you a useful new idea?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Synectics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Synectics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