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I Used to Think... / Now I Think...</w:t>
      </w:r>
    </w:p>
    <w:p>
      <w:pPr>
        <w:pStyle w:val="WorksheetSubtitle"/>
      </w:pPr>
      <w:r>
        <w:t>Make changes in understanding visible and explain what caused the shift.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TEXT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5501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I USED TO THINK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was your earlier understanding, assumption, or explanation?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NOW I THINK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 you understand or believe now?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1181" w:hRule="atLeast"/>
        </w:trPr>
        <w:tc>
          <w:tcPr>
            <w:tcW w:type="dxa" w:w="14428"/>
            <w:gridSpan w:val="2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5"/>
              </w:rPr>
              <w:t>WHAT CAUSED THE CHANGE?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Which evidence, experience, question, or perspective shifted your thinking?</w:t>
            </w:r>
          </w:p>
          <w:tbl>
            <w:tblPr>
              <w:tblW w:type="dxa" w:w="1399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997"/>
            </w:tblGrid>
            <w:tr>
              <w:trPr>
                <w:trHeight w:val="331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I Used to Think... / Now I Think...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Used to Think... / Now I Think...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