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Paragraph Frame Builder</w:t>
      </w:r>
    </w:p>
    <w:p>
      <w:pPr>
        <w:pStyle w:val="WorksheetSubtitle"/>
      </w:pPr>
      <w:r>
        <w:t>Build a temporary scaffold around the thinking move - not around one correct answer.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TASK / CONTENT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TEACHER / TEAM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THINKING MOVE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Compare? Explain cause/effect? Justify? Sequence? Interpret? Synthesize?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LANGUAGE STUDENTS NEED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Useful verbs, connectors, transition phrases, or disciplinary vocabulary.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STARTER FRAME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Provide only enough structure to get the reasoning started.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HOW I WILL FADE IT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students do independently next time?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Paragraph Frame Builder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Paragraph Frame Builder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