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11827"/>
          <w:sz w:val="48"/>
          <w:szCs w:val="48"/>
        </w:rPr>
        <w:t xml:space="preserve">O2S Builds | Wave Sequencing Plan</w:t>
      </w:r>
    </w:p>
    <w:p>
      <w:pPr>
        <w:spacing w:after="120"/>
      </w:pPr>
      <w:r>
        <w:rPr>
          <w:rFonts w:ascii="Arial" w:cs="Arial" w:eastAsia="Arial" w:hAnsi="Arial"/>
          <w:color w:val="6B7280"/>
          <w:sz w:val="22"/>
          <w:szCs w:val="22"/>
        </w:rPr>
        <w:t xml:space="preserve">Waves 1–6: Foundation steps to systematically unlock the highest value with an eye on complexity and prerequisites</w:t>
      </w:r>
    </w:p>
    <w:p>
      <w:pPr>
        <w:spacing w:after="80" w:before="200"/>
      </w:pPr>
      <w:r>
        <w:rPr>
          <w:rFonts w:ascii="Arial" w:cs="Arial" w:eastAsia="Arial" w:hAnsi="Arial"/>
          <w:b/>
          <w:bCs/>
          <w:color w:val="111827"/>
          <w:sz w:val="28"/>
          <w:szCs w:val="28"/>
        </w:rPr>
        <w:t xml:space="preserve">Sequencing Principles</w:t>
      </w:r>
    </w:p>
    <w:p>
      <w:pPr>
        <w:spacing w:after="60"/>
      </w:pPr>
      <w:r>
        <w:rPr>
          <w:rFonts w:ascii="Arial" w:cs="Arial" w:eastAsia="Arial" w:hAnsi="Arial"/>
          <w:color w:val="374151"/>
          <w:sz w:val="22"/>
          <w:szCs w:val="22"/>
        </w:rPr>
        <w:t xml:space="preserve">Each wave answers: </w:t>
      </w:r>
      <w:r>
        <w:rPr>
          <w:rFonts w:ascii="Arial" w:cs="Arial" w:eastAsia="Arial" w:hAnsi="Arial"/>
          <w:i/>
          <w:iCs/>
          <w:color w:val="374151"/>
          <w:sz w:val="22"/>
          <w:szCs w:val="22"/>
        </w:rPr>
        <w:t xml:space="preserve">What foundation steps must we take to unlock the next foundation step, and how do we unlock the highest value systematically?</w:t>
      </w:r>
    </w:p>
    <w:p>
      <w:pPr>
        <w:spacing w:after="60"/>
      </w:pPr>
      <w:r>
        <w:rPr>
          <w:rFonts w:ascii="Arial" w:cs="Arial" w:eastAsia="Arial" w:hAnsi="Arial"/>
          <w:color w:val="6B7280"/>
          <w:sz w:val="20"/>
          <w:szCs w:val="20"/>
        </w:rPr>
        <w:t xml:space="preserve">Key dimensions for prioritization: (1) Dollar value unlocked, (2) Enablement of project teams’ experience, (3) Complexity of build, (4) Other products acting as inputs, (5) Enterprise systems needed to get the data from.</w:t>
      </w:r>
    </w:p>
    <w:p>
      <w:pPr>
        <w:spacing w:after="200"/>
      </w:pPr>
      <w:r>
        <w:rPr>
          <w:rFonts w:ascii="Arial" w:cs="Arial" w:eastAsia="Arial" w:hAnsi="Arial"/>
          <w:color w:val="6B7280"/>
          <w:sz w:val="20"/>
          <w:szCs w:val="20"/>
        </w:rPr>
        <w:t xml:space="preserve">Enterprise systems can leverage existing data for v1 builds — not an immediate constraint. The Command Center builds its own data through usage (doing the work creates the data).</w:t>
      </w:r>
    </w:p>
    <w:p>
      <w:pPr>
        <w:spacing w:after="120" w:before="360"/>
      </w:pPr>
      <w:r>
        <w:rPr>
          <w:rFonts w:ascii="Arial" w:cs="Arial" w:eastAsia="Arial" w:hAnsi="Arial"/>
          <w:b/>
          <w:bCs/>
          <w:color w:val="4F46E5"/>
          <w:sz w:val="32"/>
          <w:szCs w:val="32"/>
        </w:rPr>
        <w:t xml:space="preserve">Wave 1: Foundation</w:t>
      </w:r>
      <w:r>
        <w:rPr>
          <w:rFonts w:ascii="Arial" w:cs="Arial" w:eastAsia="Arial" w:hAnsi="Arial"/>
          <w:color w:val="6B7280"/>
          <w:sz w:val="24"/>
          <w:szCs w:val="24"/>
        </w:rPr>
        <w:t xml:space="preserve">  —  No Prerequisites</w:t>
      </w:r>
    </w:p>
    <w:p>
      <w:pPr>
        <w:spacing w:after="200"/>
      </w:pPr>
      <w:r>
        <w:rPr>
          <w:rFonts w:ascii="Arial" w:cs="Arial" w:eastAsia="Arial" w:hAnsi="Arial"/>
          <w:color w:val="374151"/>
          <w:sz w:val="22"/>
          <w:szCs w:val="22"/>
        </w:rPr>
        <w:t xml:space="preserve">Stand up core intake and margin planning to unlock project team experience immediately. These modules have zero dependencies on other Command Center components and can be built and deployed as the first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600"/>
        <w:gridCol w:w="4160"/>
      </w:tblGrid>
      <w:tr>
        <w:tc>
          <w:tcPr>
            <w:tcW w:type="dxa" w:w="28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8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60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rFonts w:ascii="Arial" w:cs="Arial" w:eastAsia="Arial" w:hAnsi="Arial"/>
                <w:b/>
                <w:bCs/>
                <w:color w:val="FFFFFF"/>
                <w:sz w:val="18"/>
                <w:szCs w:val="18"/>
              </w:rPr>
              <w:t xml:space="preserve">Personas</w:t>
            </w:r>
          </w:p>
        </w:tc>
        <w:tc>
          <w:tcPr>
            <w:tcW w:type="dxa" w:w="4160"/>
            <w:tcBorders>
              <w:top w:val="single" w:color="D1D5DB" w:sz="1"/>
              <w:left w:val="single" w:color="D1D5DB" w:sz="1"/>
              <w:bottom w:val="single" w:color="D1D5DB" w:sz="1"/>
              <w:right w:val="single" w:color="D1D5DB" w:sz="1"/>
            </w:tcBorders>
            <w:shd w:fill="4F46E5" w:val="clear"/>
            <w:tcMar>
              <w:top w:type="dxa" w:w="60"/>
              <w:left w:type="dxa" w:w="100"/>
              <w:bottom w:type="dxa" w:w="60"/>
              <w:right w:type="dxa" w:w="100"/>
            </w:tcMar>
          </w:tcPr>
          <w:p>
            <w:r>
              <w:rPr>
                <w:rFonts w:ascii="Arial" w:cs="Arial" w:eastAsia="Arial" w:hAnsi="Arial"/>
                <w:b/>
                <w:bCs/>
                <w:color w:val="FFFFFF"/>
                <w:sz w:val="18"/>
                <w:szCs w:val="18"/>
              </w:rPr>
              <w:t xml:space="preserve">Why This Wave</w:t>
            </w:r>
          </w:p>
        </w:tc>
      </w:tr>
      <w:tr>
        <w:tc>
          <w:tcPr>
            <w:tcW w:type="dxa" w:w="280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b/>
                <w:bCs/>
                <w:color w:val="1F2937"/>
                <w:sz w:val="18"/>
                <w:szCs w:val="18"/>
              </w:rPr>
              <w:t xml:space="preserve">V0 Baseline Review (prepop)</w:t>
            </w:r>
          </w:p>
        </w:tc>
        <w:tc>
          <w:tcPr>
            <w:tcW w:type="dxa" w:w="80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color w:val="6B7280"/>
                <w:sz w:val="18"/>
                <w:szCs w:val="18"/>
              </w:rPr>
              <w:t xml:space="preserve">Z4-5</w:t>
            </w:r>
          </w:p>
        </w:tc>
        <w:tc>
          <w:tcPr>
            <w:tcW w:type="dxa" w:w="160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color w:val="6B7280"/>
                <w:sz w:val="18"/>
                <w:szCs w:val="18"/>
              </w:rPr>
              <w:t xml:space="preserve">Project Teams, O2S Ops</w:t>
            </w:r>
          </w:p>
        </w:tc>
        <w:tc>
          <w:tcPr>
            <w:tcW w:type="dxa" w:w="416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color w:val="374151"/>
                <w:sz w:val="18"/>
                <w:szCs w:val="18"/>
              </w:rPr>
              <w:t xml:space="preserve">Starting point — no prerequisites. Pre-populating baselines from templates and forecasts enables project teams to engage early and builds the data foundation for all downstream waves.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Ad-Hoc Request Intake (adhoc)</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Z4-5</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Project Teams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 prerequisites. Giving project teams a structured intake channel early creates immediate value and captures demand signals that feed Wave 2 aggregation.</w:t>
            </w:r>
          </w:p>
        </w:tc>
      </w:tr>
      <w:tr>
        <w:tc>
          <w:tcPr>
            <w:tcW w:type="dxa" w:w="280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b/>
                <w:bCs/>
                <w:color w:val="1F2937"/>
                <w:sz w:val="18"/>
                <w:szCs w:val="18"/>
              </w:rPr>
              <w:t xml:space="preserve">Margin Plan (margin)</w:t>
            </w:r>
          </w:p>
        </w:tc>
        <w:tc>
          <w:tcPr>
            <w:tcW w:type="dxa" w:w="80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color w:val="6B7280"/>
                <w:sz w:val="18"/>
                <w:szCs w:val="18"/>
              </w:rPr>
              <w:t xml:space="preserve">Z1-3</w:t>
            </w:r>
          </w:p>
        </w:tc>
        <w:tc>
          <w:tcPr>
            <w:tcW w:type="dxa" w:w="160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color w:val="6B7280"/>
                <w:sz w:val="18"/>
                <w:szCs w:val="18"/>
              </w:rPr>
              <w:t xml:space="preserve">Finance &amp; FP&amp;A</w:t>
            </w:r>
          </w:p>
        </w:tc>
        <w:tc>
          <w:tcPr>
            <w:tcW w:type="dxa" w:w="4160"/>
            <w:tcBorders>
              <w:top w:val="single" w:color="D1D5DB" w:sz="1"/>
              <w:left w:val="single" w:color="D1D5DB" w:sz="1"/>
              <w:bottom w:val="single" w:color="D1D5DB" w:sz="1"/>
              <w:right w:val="single" w:color="D1D5DB" w:sz="1"/>
            </w:tcBorders>
            <w:shd w:fill="EEF2FF" w:val="clear"/>
            <w:tcMar>
              <w:top w:type="dxa" w:w="60"/>
              <w:left w:type="dxa" w:w="100"/>
              <w:bottom w:type="dxa" w:w="60"/>
              <w:right w:type="dxa" w:w="100"/>
            </w:tcMar>
          </w:tcPr>
          <w:p>
            <w:r>
              <w:rPr>
                <w:rFonts w:ascii="Arial" w:cs="Arial" w:eastAsia="Arial" w:hAnsi="Arial"/>
                <w:color w:val="374151"/>
                <w:sz w:val="18"/>
                <w:szCs w:val="18"/>
              </w:rPr>
              <w:t xml:space="preserve">Starting point for Finance &amp; FP&amp;A. Margin planning at pursuit stage anchors all downstream cost and revenue visibility.</w:t>
            </w:r>
          </w:p>
        </w:tc>
      </w:tr>
    </w:tbl>
    <w:p>
      <w:pPr>
        <w:pBdr>
          <w:left w:val="single" w:color="4F46E5" w:sz="12" w:space="8"/>
        </w:pBdr>
        <w:spacing w:after="120" w:before="200"/>
        <w:ind w:left="200"/>
      </w:pPr>
      <w:r>
        <w:rPr>
          <w:rFonts w:ascii="Arial" w:cs="Arial" w:eastAsia="Arial" w:hAnsi="Arial"/>
          <w:b/>
          <w:bCs/>
          <w:color w:val="4F46E5"/>
          <w:sz w:val="20"/>
          <w:szCs w:val="20"/>
        </w:rPr>
        <w:t xml:space="preserve">Unlocks: </w:t>
      </w:r>
      <w:r>
        <w:rPr>
          <w:rFonts w:ascii="Arial" w:cs="Arial" w:eastAsia="Arial" w:hAnsi="Arial"/>
          <w:color w:val="374151"/>
          <w:sz w:val="20"/>
          <w:szCs w:val="20"/>
        </w:rPr>
        <w:t xml:space="preserve">Demand data flowing from project-level intakes → enables Wave 2 aggregation and scoring.</w:t>
      </w:r>
    </w:p>
    <w:p>
      <w:pPr>
        <w:spacing w:after="120" w:before="360"/>
      </w:pPr>
      <w:r>
        <w:rPr>
          <w:rFonts w:ascii="Arial" w:cs="Arial" w:eastAsia="Arial" w:hAnsi="Arial"/>
          <w:b/>
          <w:bCs/>
          <w:color w:val="059669"/>
          <w:sz w:val="32"/>
          <w:szCs w:val="32"/>
        </w:rPr>
        <w:t xml:space="preserve">Wave 2: Demand Intelligence</w:t>
      </w:r>
      <w:r>
        <w:rPr>
          <w:rFonts w:ascii="Arial" w:cs="Arial" w:eastAsia="Arial" w:hAnsi="Arial"/>
          <w:color w:val="6B7280"/>
          <w:sz w:val="24"/>
          <w:szCs w:val="24"/>
        </w:rPr>
        <w:t xml:space="preserve">  —  Builds on Wave 1 Baselines</w:t>
      </w:r>
    </w:p>
    <w:p>
      <w:pPr>
        <w:spacing w:after="200"/>
      </w:pPr>
      <w:r>
        <w:rPr>
          <w:rFonts w:ascii="Arial" w:cs="Arial" w:eastAsia="Arial" w:hAnsi="Arial"/>
          <w:color w:val="374151"/>
          <w:sz w:val="22"/>
          <w:szCs w:val="22"/>
        </w:rPr>
        <w:t xml:space="preserve">With baselines and intakes flowing from Wave 1, aggregate demand signals across the portfolio, score how complete each need is, surface the financial consequence of late clarity, and show where every package sits in the zone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600"/>
        <w:gridCol w:w="4160"/>
      </w:tblGrid>
      <w:tr>
        <w:tc>
          <w:tcPr>
            <w:tcW w:type="dxa" w:w="28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8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60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r>
              <w:rPr>
                <w:rFonts w:ascii="Arial" w:cs="Arial" w:eastAsia="Arial" w:hAnsi="Arial"/>
                <w:b/>
                <w:bCs/>
                <w:color w:val="FFFFFF"/>
                <w:sz w:val="18"/>
                <w:szCs w:val="18"/>
              </w:rPr>
              <w:t xml:space="preserve">Personas</w:t>
            </w:r>
          </w:p>
        </w:tc>
        <w:tc>
          <w:tcPr>
            <w:tcW w:type="dxa" w:w="4160"/>
            <w:tcBorders>
              <w:top w:val="single" w:color="D1D5DB" w:sz="1"/>
              <w:left w:val="single" w:color="D1D5DB" w:sz="1"/>
              <w:bottom w:val="single" w:color="D1D5DB" w:sz="1"/>
              <w:right w:val="single" w:color="D1D5DB" w:sz="1"/>
            </w:tcBorders>
            <w:shd w:fill="059669" w:val="clear"/>
            <w:tcMar>
              <w:top w:type="dxa" w:w="60"/>
              <w:left w:type="dxa" w:w="100"/>
              <w:bottom w:type="dxa" w:w="60"/>
              <w:right w:type="dxa" w:w="100"/>
            </w:tcMar>
          </w:tcPr>
          <w:p>
            <w:r>
              <w:rPr>
                <w:rFonts w:ascii="Arial" w:cs="Arial" w:eastAsia="Arial" w:hAnsi="Arial"/>
                <w:b/>
                <w:bCs/>
                <w:color w:val="FFFFFF"/>
                <w:sz w:val="18"/>
                <w:szCs w:val="18"/>
              </w:rPr>
              <w:t xml:space="preserve">Why This Wave</w:t>
            </w:r>
          </w:p>
        </w:tc>
      </w:tr>
      <w:tr>
        <w:tc>
          <w:tcPr>
            <w:tcW w:type="dxa" w:w="28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b/>
                <w:bCs/>
                <w:color w:val="1F2937"/>
                <w:sz w:val="18"/>
                <w:szCs w:val="18"/>
              </w:rPr>
              <w:t xml:space="preserve">Asset Demand Forecast (forecast)</w:t>
            </w:r>
          </w:p>
        </w:tc>
        <w:tc>
          <w:tcPr>
            <w:tcW w:type="dxa" w:w="8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color w:val="6B7280"/>
                <w:sz w:val="18"/>
                <w:szCs w:val="18"/>
              </w:rPr>
              <w:t xml:space="preserve">Z1-3</w:t>
            </w:r>
          </w:p>
        </w:tc>
        <w:tc>
          <w:tcPr>
            <w:tcW w:type="dxa" w:w="16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color w:val="6B7280"/>
                <w:sz w:val="18"/>
                <w:szCs w:val="18"/>
              </w:rPr>
              <w:t xml:space="preserve">O2S Ops, Leadership</w:t>
            </w:r>
          </w:p>
        </w:tc>
        <w:tc>
          <w:tcPr>
            <w:tcW w:type="dxa" w:w="416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color w:val="374151"/>
                <w:sz w:val="18"/>
                <w:szCs w:val="18"/>
              </w:rPr>
              <w:t xml:space="preserve">Dependent on Wave 1 baselines and intakes to have demand data flowing. Aggregates project-level needs into portfolio-wide cat-class demand vs. supply.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Clarity &amp; Confidence Scoring (clarityscoring)</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Z4-5</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Project Teams, O2S Ops, Finance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baseline data from Wave 1 to score. Quantifies how complete each equipment need is — the scoring engine that powers cost-of-delay and preflight.</w:t>
            </w:r>
          </w:p>
        </w:tc>
      </w:tr>
      <w:tr>
        <w:tc>
          <w:tcPr>
            <w:tcW w:type="dxa" w:w="28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b/>
                <w:bCs/>
                <w:color w:val="1F2937"/>
                <w:sz w:val="18"/>
                <w:szCs w:val="18"/>
              </w:rPr>
              <w:t xml:space="preserve">Cost of Delay Visibility (costofdelay)</w:t>
            </w:r>
          </w:p>
        </w:tc>
        <w:tc>
          <w:tcPr>
            <w:tcW w:type="dxa" w:w="8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color w:val="6B7280"/>
                <w:sz w:val="18"/>
                <w:szCs w:val="18"/>
              </w:rPr>
              <w:t xml:space="preserve">Z4-5</w:t>
            </w:r>
          </w:p>
        </w:tc>
        <w:tc>
          <w:tcPr>
            <w:tcW w:type="dxa" w:w="16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color w:val="6B7280"/>
                <w:sz w:val="18"/>
                <w:szCs w:val="18"/>
              </w:rPr>
              <w:t xml:space="preserve">Project Teams, O2S Ops</w:t>
            </w:r>
          </w:p>
        </w:tc>
        <w:tc>
          <w:tcPr>
            <w:tcW w:type="dxa" w:w="416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tcPr>
          <w:p>
            <w:r>
              <w:rPr>
                <w:rFonts w:ascii="Arial" w:cs="Arial" w:eastAsia="Arial" w:hAnsi="Arial"/>
                <w:color w:val="374151"/>
                <w:sz w:val="18"/>
                <w:szCs w:val="18"/>
              </w:rPr>
              <w:t xml:space="preserve">Dependent on demand forecasting and clarity scoring. Makes the financial consequence of late clarity visible — the behavioral nudge engine.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Project Maturity &amp; Zone Distribution (projectmaturity)</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Z4-5</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All Personas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zone lifecycle data flowing from Wave 1 intakes. Shows where every package sits across zones — the portfolio-level progress view.</w:t>
            </w:r>
          </w:p>
        </w:tc>
      </w:tr>
    </w:tbl>
    <w:p>
      <w:pPr>
        <w:pBdr>
          <w:left w:val="single" w:color="059669" w:sz="12" w:space="8"/>
        </w:pBdr>
        <w:spacing w:after="120" w:before="200"/>
        <w:ind w:left="200"/>
      </w:pPr>
      <w:r>
        <w:rPr>
          <w:rFonts w:ascii="Arial" w:cs="Arial" w:eastAsia="Arial" w:hAnsi="Arial"/>
          <w:b/>
          <w:bCs/>
          <w:color w:val="059669"/>
          <w:sz w:val="20"/>
          <w:szCs w:val="20"/>
        </w:rPr>
        <w:t xml:space="preserve">Unlocks: </w:t>
      </w:r>
      <w:r>
        <w:rPr>
          <w:rFonts w:ascii="Arial" w:cs="Arial" w:eastAsia="Arial" w:hAnsi="Arial"/>
          <w:color w:val="374151"/>
          <w:sz w:val="20"/>
          <w:szCs w:val="20"/>
        </w:rPr>
        <w:t xml:space="preserve">Scored, aggregated demand signals → enables Wave 3 decision engines to evaluate and optimize.</w:t>
      </w:r>
    </w:p>
    <w:p>
      <w:pPr>
        <w:spacing w:after="120" w:before="360"/>
      </w:pPr>
      <w:r>
        <w:rPr>
          <w:rFonts w:ascii="Arial" w:cs="Arial" w:eastAsia="Arial" w:hAnsi="Arial"/>
          <w:b/>
          <w:bCs/>
          <w:color w:val="D97706"/>
          <w:sz w:val="32"/>
          <w:szCs w:val="32"/>
        </w:rPr>
        <w:t xml:space="preserve">Wave 3: Decision Engines</w:t>
      </w:r>
      <w:r>
        <w:rPr>
          <w:rFonts w:ascii="Arial" w:cs="Arial" w:eastAsia="Arial" w:hAnsi="Arial"/>
          <w:color w:val="6B7280"/>
          <w:sz w:val="24"/>
          <w:szCs w:val="24"/>
        </w:rPr>
        <w:t xml:space="preserve">  —  Builds on Wave 2 Demand Signals</w:t>
      </w:r>
    </w:p>
    <w:p>
      <w:pPr>
        <w:spacing w:after="200"/>
      </w:pPr>
      <w:r>
        <w:rPr>
          <w:rFonts w:ascii="Arial" w:cs="Arial" w:eastAsia="Arial" w:hAnsi="Arial"/>
          <w:color w:val="374151"/>
          <w:sz w:val="22"/>
          <w:szCs w:val="22"/>
        </w:rPr>
        <w:t xml:space="preserve">With scored demand signals from Wave 2, enable the decision engines that evaluate fit, analyze asset lifecycle, generate quick estimates, and optimize owned-vs-rent decisions. These are the intelligence layers that shape how demand gets fulfilled.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600"/>
        <w:gridCol w:w="4160"/>
      </w:tblGrid>
      <w:tr>
        <w:tc>
          <w:tcPr>
            <w:tcW w:type="dxa" w:w="28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8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60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18"/>
                <w:szCs w:val="18"/>
              </w:rPr>
              <w:t xml:space="preserve">Personas</w:t>
            </w:r>
          </w:p>
        </w:tc>
        <w:tc>
          <w:tcPr>
            <w:tcW w:type="dxa" w:w="4160"/>
            <w:tcBorders>
              <w:top w:val="single" w:color="D1D5DB" w:sz="1"/>
              <w:left w:val="single" w:color="D1D5DB" w:sz="1"/>
              <w:bottom w:val="single" w:color="D1D5DB" w:sz="1"/>
              <w:right w:val="single" w:color="D1D5DB" w:sz="1"/>
            </w:tcBorders>
            <w:shd w:fill="D97706" w:val="clear"/>
            <w:tcMar>
              <w:top w:type="dxa" w:w="60"/>
              <w:left w:type="dxa" w:w="100"/>
              <w:bottom w:type="dxa" w:w="60"/>
              <w:right w:type="dxa" w:w="100"/>
            </w:tcMar>
          </w:tcPr>
          <w:p>
            <w:r>
              <w:rPr>
                <w:rFonts w:ascii="Arial" w:cs="Arial" w:eastAsia="Arial" w:hAnsi="Arial"/>
                <w:b/>
                <w:bCs/>
                <w:color w:val="FFFFFF"/>
                <w:sz w:val="18"/>
                <w:szCs w:val="18"/>
              </w:rPr>
              <w:t xml:space="preserve">Why This Wave</w:t>
            </w:r>
          </w:p>
        </w:tc>
      </w:tr>
      <w:tr>
        <w:tc>
          <w:tcPr>
            <w:tcW w:type="dxa" w:w="28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b/>
                <w:bCs/>
                <w:color w:val="1F2937"/>
                <w:sz w:val="18"/>
                <w:szCs w:val="18"/>
              </w:rPr>
              <w:t xml:space="preserve">Fit Score &amp; Opportunity Correlation (fitscore)</w:t>
            </w:r>
          </w:p>
        </w:tc>
        <w:tc>
          <w:tcPr>
            <w:tcW w:type="dxa" w:w="8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color w:val="6B7280"/>
                <w:sz w:val="18"/>
                <w:szCs w:val="18"/>
              </w:rPr>
              <w:t xml:space="preserve">Z1-3</w:t>
            </w:r>
          </w:p>
        </w:tc>
        <w:tc>
          <w:tcPr>
            <w:tcW w:type="dxa" w:w="16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color w:val="6B7280"/>
                <w:sz w:val="18"/>
                <w:szCs w:val="18"/>
              </w:rPr>
              <w:t xml:space="preserve">O2S Ops, Leadership</w:t>
            </w:r>
          </w:p>
        </w:tc>
        <w:tc>
          <w:tcPr>
            <w:tcW w:type="dxa" w:w="416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color w:val="374151"/>
                <w:sz w:val="18"/>
                <w:szCs w:val="18"/>
              </w:rPr>
              <w:t xml:space="preserve">Needs forecast data from Wave 2. Evaluates FP&amp;A entries against equipment capabilities to recommend engagement strategy before designs lock.</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Asset Lifecycle Engine (lifecycle)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Z6-7</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Leadership</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Dependent on multiple data inputs (telematics, maintenance, etc.). Creates the unified asset view that feeds CapEx planning in Wave 4.</w:t>
            </w:r>
          </w:p>
        </w:tc>
      </w:tr>
      <w:tr>
        <w:tc>
          <w:tcPr>
            <w:tcW w:type="dxa" w:w="28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b/>
                <w:bCs/>
                <w:color w:val="1F2937"/>
                <w:sz w:val="18"/>
                <w:szCs w:val="18"/>
              </w:rPr>
              <w:t xml:space="preserve">Quick Quotes (quotes)</w:t>
            </w:r>
          </w:p>
        </w:tc>
        <w:tc>
          <w:tcPr>
            <w:tcW w:type="dxa" w:w="8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color w:val="6B7280"/>
                <w:sz w:val="18"/>
                <w:szCs w:val="18"/>
              </w:rPr>
              <w:t xml:space="preserve">Z1-3</w:t>
            </w:r>
          </w:p>
        </w:tc>
        <w:tc>
          <w:tcPr>
            <w:tcW w:type="dxa" w:w="16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color w:val="6B7280"/>
                <w:sz w:val="18"/>
                <w:szCs w:val="18"/>
              </w:rPr>
              <w:t xml:space="preserve">RSI &amp; FSI</w:t>
            </w:r>
          </w:p>
        </w:tc>
        <w:tc>
          <w:tcPr>
            <w:tcW w:type="dxa" w:w="416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tcPr>
          <w:p>
            <w:r>
              <w:rPr>
                <w:rFonts w:ascii="Arial" w:cs="Arial" w:eastAsia="Arial" w:hAnsi="Arial"/>
                <w:color w:val="374151"/>
                <w:sz w:val="18"/>
                <w:szCs w:val="18"/>
              </w:rPr>
              <w:t xml:space="preserve">Same ML logic as demand forecasting but at lower fidelity for quick directional estimates. Feeds quick quotes to RSIs for early customer engagement.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Owned vs Re-Rent Optimizer (optimize)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Z6-7</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O2S Ops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demand signals from Wave 2 plus fleet data. Determines owned vs. re-rent for each request — critical cost optimization before fulfillment.</w:t>
            </w:r>
          </w:p>
        </w:tc>
      </w:tr>
    </w:tbl>
    <w:p>
      <w:pPr>
        <w:pBdr>
          <w:left w:val="single" w:color="D97706" w:sz="12" w:space="8"/>
        </w:pBdr>
        <w:spacing w:after="120" w:before="200"/>
        <w:ind w:left="200"/>
      </w:pPr>
      <w:r>
        <w:rPr>
          <w:rFonts w:ascii="Arial" w:cs="Arial" w:eastAsia="Arial" w:hAnsi="Arial"/>
          <w:b/>
          <w:bCs/>
          <w:color w:val="D97706"/>
          <w:sz w:val="20"/>
          <w:szCs w:val="20"/>
        </w:rPr>
        <w:t xml:space="preserve">Unlocks: </w:t>
      </w:r>
      <w:r>
        <w:rPr>
          <w:rFonts w:ascii="Arial" w:cs="Arial" w:eastAsia="Arial" w:hAnsi="Arial"/>
          <w:color w:val="374151"/>
          <w:sz w:val="20"/>
          <w:szCs w:val="20"/>
        </w:rPr>
        <w:t xml:space="preserve">Optimization decisions and lifecycle intelligence → enables Wave 4 validation and fulfillment.</w:t>
      </w:r>
    </w:p>
    <w:p>
      <w:pPr>
        <w:spacing w:after="120" w:before="360"/>
      </w:pPr>
      <w:r>
        <w:rPr>
          <w:rFonts w:ascii="Arial" w:cs="Arial" w:eastAsia="Arial" w:hAnsi="Arial"/>
          <w:b/>
          <w:bCs/>
          <w:color w:val="E11D48"/>
          <w:sz w:val="32"/>
          <w:szCs w:val="32"/>
        </w:rPr>
        <w:t xml:space="preserve">Wave 4: Validate &amp; Fulfill</w:t>
      </w:r>
      <w:r>
        <w:rPr>
          <w:rFonts w:ascii="Arial" w:cs="Arial" w:eastAsia="Arial" w:hAnsi="Arial"/>
          <w:color w:val="6B7280"/>
          <w:sz w:val="24"/>
          <w:szCs w:val="24"/>
        </w:rPr>
        <w:t xml:space="preserve">  —  Builds on Wave 3 Decisions</w:t>
      </w:r>
    </w:p>
    <w:p>
      <w:pPr>
        <w:spacing w:after="200"/>
      </w:pPr>
      <w:r>
        <w:rPr>
          <w:rFonts w:ascii="Arial" w:cs="Arial" w:eastAsia="Arial" w:hAnsi="Arial"/>
          <w:color w:val="374151"/>
          <w:sz w:val="22"/>
          <w:szCs w:val="22"/>
        </w:rPr>
        <w:t xml:space="preserve">With decisions from Wave 3 shaping how demand gets fulfilled, validate request packs, submit formal handoffs, enable strategic sourcing, and translate forward demand into CapEx plans. This is where planning converts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600"/>
        <w:gridCol w:w="4160"/>
      </w:tblGrid>
      <w:tr>
        <w:tc>
          <w:tcPr>
            <w:tcW w:type="dxa" w:w="2800"/>
            <w:tcBorders>
              <w:top w:val="single" w:color="D1D5DB" w:sz="1"/>
              <w:left w:val="single" w:color="D1D5DB" w:sz="1"/>
              <w:bottom w:val="single" w:color="D1D5DB" w:sz="1"/>
              <w:right w:val="single" w:color="D1D5DB" w:sz="1"/>
            </w:tcBorders>
            <w:shd w:fill="E11D48"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800"/>
            <w:tcBorders>
              <w:top w:val="single" w:color="D1D5DB" w:sz="1"/>
              <w:left w:val="single" w:color="D1D5DB" w:sz="1"/>
              <w:bottom w:val="single" w:color="D1D5DB" w:sz="1"/>
              <w:right w:val="single" w:color="D1D5DB" w:sz="1"/>
            </w:tcBorders>
            <w:shd w:fill="E11D48"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600"/>
            <w:tcBorders>
              <w:top w:val="single" w:color="D1D5DB" w:sz="1"/>
              <w:left w:val="single" w:color="D1D5DB" w:sz="1"/>
              <w:bottom w:val="single" w:color="D1D5DB" w:sz="1"/>
              <w:right w:val="single" w:color="D1D5DB" w:sz="1"/>
            </w:tcBorders>
            <w:shd w:fill="E11D48" w:val="clear"/>
            <w:tcMar>
              <w:top w:type="dxa" w:w="60"/>
              <w:left w:type="dxa" w:w="100"/>
              <w:bottom w:type="dxa" w:w="60"/>
              <w:right w:type="dxa" w:w="100"/>
            </w:tcMar>
          </w:tcPr>
          <w:p>
            <w:r>
              <w:rPr>
                <w:rFonts w:ascii="Arial" w:cs="Arial" w:eastAsia="Arial" w:hAnsi="Arial"/>
                <w:b/>
                <w:bCs/>
                <w:color w:val="FFFFFF"/>
                <w:sz w:val="18"/>
                <w:szCs w:val="18"/>
              </w:rPr>
              <w:t xml:space="preserve">Personas</w:t>
            </w:r>
          </w:p>
        </w:tc>
        <w:tc>
          <w:tcPr>
            <w:tcW w:type="dxa" w:w="4160"/>
            <w:tcBorders>
              <w:top w:val="single" w:color="D1D5DB" w:sz="1"/>
              <w:left w:val="single" w:color="D1D5DB" w:sz="1"/>
              <w:bottom w:val="single" w:color="D1D5DB" w:sz="1"/>
              <w:right w:val="single" w:color="D1D5DB" w:sz="1"/>
            </w:tcBorders>
            <w:shd w:fill="E11D48" w:val="clear"/>
            <w:tcMar>
              <w:top w:type="dxa" w:w="60"/>
              <w:left w:type="dxa" w:w="100"/>
              <w:bottom w:type="dxa" w:w="60"/>
              <w:right w:type="dxa" w:w="100"/>
            </w:tcMar>
          </w:tcPr>
          <w:p>
            <w:r>
              <w:rPr>
                <w:rFonts w:ascii="Arial" w:cs="Arial" w:eastAsia="Arial" w:hAnsi="Arial"/>
                <w:b/>
                <w:bCs/>
                <w:color w:val="FFFFFF"/>
                <w:sz w:val="18"/>
                <w:szCs w:val="18"/>
              </w:rPr>
              <w:t xml:space="preserve">Why This Wave</w:t>
            </w:r>
          </w:p>
        </w:tc>
      </w:tr>
      <w:tr>
        <w:tc>
          <w:tcPr>
            <w:tcW w:type="dxa" w:w="280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b/>
                <w:bCs/>
                <w:color w:val="1F2937"/>
                <w:sz w:val="18"/>
                <w:szCs w:val="18"/>
              </w:rPr>
              <w:t xml:space="preserve">Preflight Validation (preflight)</w:t>
            </w:r>
          </w:p>
        </w:tc>
        <w:tc>
          <w:tcPr>
            <w:tcW w:type="dxa" w:w="80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color w:val="6B7280"/>
                <w:sz w:val="18"/>
                <w:szCs w:val="18"/>
              </w:rPr>
              <w:t xml:space="preserve">Z6-7</w:t>
            </w:r>
          </w:p>
        </w:tc>
        <w:tc>
          <w:tcPr>
            <w:tcW w:type="dxa" w:w="160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color w:val="6B7280"/>
                <w:sz w:val="18"/>
                <w:szCs w:val="18"/>
              </w:rPr>
              <w:t xml:space="preserve">Project Teams, O2S Ops</w:t>
            </w:r>
          </w:p>
        </w:tc>
        <w:tc>
          <w:tcPr>
            <w:tcW w:type="dxa" w:w="416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color w:val="374151"/>
                <w:sz w:val="18"/>
                <w:szCs w:val="18"/>
              </w:rPr>
              <w:t xml:space="preserve">Needs upstream clarity scoring and optimization from Waves 2-3. The hard validation gate — items must pass before formal submission.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Formal Request &amp; Handoff (formalrequest)</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Z6-7</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RSI &amp; FSI, O2S Ops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preflight validation. Submits validated request packs with full lineage — the handoff from planning to execution.</w:t>
            </w:r>
          </w:p>
        </w:tc>
      </w:tr>
      <w:tr>
        <w:tc>
          <w:tcPr>
            <w:tcW w:type="dxa" w:w="280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b/>
                <w:bCs/>
                <w:color w:val="1F2937"/>
                <w:sz w:val="18"/>
                <w:szCs w:val="18"/>
              </w:rPr>
              <w:t xml:space="preserve">Strategic Sourcing (source)</w:t>
            </w:r>
          </w:p>
        </w:tc>
        <w:tc>
          <w:tcPr>
            <w:tcW w:type="dxa" w:w="80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color w:val="6B7280"/>
                <w:sz w:val="18"/>
                <w:szCs w:val="18"/>
              </w:rPr>
              <w:t xml:space="preserve">Z6-7</w:t>
            </w:r>
          </w:p>
        </w:tc>
        <w:tc>
          <w:tcPr>
            <w:tcW w:type="dxa" w:w="160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color w:val="6B7280"/>
                <w:sz w:val="18"/>
                <w:szCs w:val="18"/>
              </w:rPr>
              <w:t xml:space="preserve">O2S Ops</w:t>
            </w:r>
          </w:p>
        </w:tc>
        <w:tc>
          <w:tcPr>
            <w:tcW w:type="dxa" w:w="4160"/>
            <w:tcBorders>
              <w:top w:val="single" w:color="D1D5DB" w:sz="1"/>
              <w:left w:val="single" w:color="D1D5DB" w:sz="1"/>
              <w:bottom w:val="single" w:color="D1D5DB" w:sz="1"/>
              <w:right w:val="single" w:color="D1D5DB" w:sz="1"/>
            </w:tcBorders>
            <w:shd w:fill="FFF1F2" w:val="clear"/>
            <w:tcMar>
              <w:top w:type="dxa" w:w="60"/>
              <w:left w:type="dxa" w:w="100"/>
              <w:bottom w:type="dxa" w:w="60"/>
              <w:right w:type="dxa" w:w="100"/>
            </w:tcMar>
          </w:tcPr>
          <w:p>
            <w:r>
              <w:rPr>
                <w:rFonts w:ascii="Arial" w:cs="Arial" w:eastAsia="Arial" w:hAnsi="Arial"/>
                <w:color w:val="374151"/>
                <w:sz w:val="18"/>
                <w:szCs w:val="18"/>
              </w:rPr>
              <w:t xml:space="preserve">Needs optimizer output from Wave 3. Enables strategic vendor selection using demand signals and performance data.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CapEx Plan (capex)</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Z8-9</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Leadership</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lifecycle engine and demand-supply gap from Wave 3. Translates forward demand into prioritized CapEx waves for steering committee.</w:t>
            </w:r>
          </w:p>
        </w:tc>
      </w:tr>
    </w:tbl>
    <w:p>
      <w:pPr>
        <w:pBdr>
          <w:left w:val="single" w:color="E11D48" w:sz="12" w:space="8"/>
        </w:pBdr>
        <w:spacing w:after="120" w:before="200"/>
        <w:ind w:left="200"/>
      </w:pPr>
      <w:r>
        <w:rPr>
          <w:rFonts w:ascii="Arial" w:cs="Arial" w:eastAsia="Arial" w:hAnsi="Arial"/>
          <w:b/>
          <w:bCs/>
          <w:color w:val="E11D48"/>
          <w:sz w:val="20"/>
          <w:szCs w:val="20"/>
        </w:rPr>
        <w:t xml:space="preserve">Unlocks: </w:t>
      </w:r>
      <w:r>
        <w:rPr>
          <w:rFonts w:ascii="Arial" w:cs="Arial" w:eastAsia="Arial" w:hAnsi="Arial"/>
          <w:color w:val="374151"/>
          <w:sz w:val="20"/>
          <w:szCs w:val="20"/>
        </w:rPr>
        <w:t xml:space="preserve">Validated, submitted requests and CapEx plans → enables Wave 5 execution tracking.</w:t>
      </w:r>
    </w:p>
    <w:p>
      <w:pPr>
        <w:spacing w:after="120" w:before="360"/>
      </w:pPr>
      <w:r>
        <w:rPr>
          <w:rFonts w:ascii="Arial" w:cs="Arial" w:eastAsia="Arial" w:hAnsi="Arial"/>
          <w:b/>
          <w:bCs/>
          <w:color w:val="7C3AED"/>
          <w:sz w:val="32"/>
          <w:szCs w:val="32"/>
        </w:rPr>
        <w:t xml:space="preserve">Wave 5: Execute &amp; Monitor</w:t>
      </w:r>
      <w:r>
        <w:rPr>
          <w:rFonts w:ascii="Arial" w:cs="Arial" w:eastAsia="Arial" w:hAnsi="Arial"/>
          <w:color w:val="6B7280"/>
          <w:sz w:val="24"/>
          <w:szCs w:val="24"/>
        </w:rPr>
        <w:t xml:space="preserve">  —  Builds on Wave 4 Requests</w:t>
      </w:r>
    </w:p>
    <w:p>
      <w:pPr>
        <w:spacing w:after="200"/>
      </w:pPr>
      <w:r>
        <w:rPr>
          <w:rFonts w:ascii="Arial" w:cs="Arial" w:eastAsia="Arial" w:hAnsi="Arial"/>
          <w:color w:val="374151"/>
          <w:sz w:val="22"/>
          <w:szCs w:val="22"/>
        </w:rPr>
        <w:t xml:space="preserve">With formal requests flowing from Wave 4, track active deployments, score vendor performance from actuals, detect billing anomalies, and monitor gate regressions. This is the operational cockpit.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600"/>
        <w:gridCol w:w="4160"/>
      </w:tblGrid>
      <w:tr>
        <w:tc>
          <w:tcPr>
            <w:tcW w:type="dxa" w:w="2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8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60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r>
              <w:rPr>
                <w:rFonts w:ascii="Arial" w:cs="Arial" w:eastAsia="Arial" w:hAnsi="Arial"/>
                <w:b/>
                <w:bCs/>
                <w:color w:val="FFFFFF"/>
                <w:sz w:val="18"/>
                <w:szCs w:val="18"/>
              </w:rPr>
              <w:t xml:space="preserve">Personas</w:t>
            </w:r>
          </w:p>
        </w:tc>
        <w:tc>
          <w:tcPr>
            <w:tcW w:type="dxa" w:w="4160"/>
            <w:tcBorders>
              <w:top w:val="single" w:color="D1D5DB" w:sz="1"/>
              <w:left w:val="single" w:color="D1D5DB" w:sz="1"/>
              <w:bottom w:val="single" w:color="D1D5DB" w:sz="1"/>
              <w:right w:val="single" w:color="D1D5DB" w:sz="1"/>
            </w:tcBorders>
            <w:shd w:fill="7C3AED" w:val="clear"/>
            <w:tcMar>
              <w:top w:type="dxa" w:w="60"/>
              <w:left w:type="dxa" w:w="100"/>
              <w:bottom w:type="dxa" w:w="60"/>
              <w:right w:type="dxa" w:w="100"/>
            </w:tcMar>
          </w:tcPr>
          <w:p>
            <w:r>
              <w:rPr>
                <w:rFonts w:ascii="Arial" w:cs="Arial" w:eastAsia="Arial" w:hAnsi="Arial"/>
                <w:b/>
                <w:bCs/>
                <w:color w:val="FFFFFF"/>
                <w:sz w:val="18"/>
                <w:szCs w:val="18"/>
              </w:rPr>
              <w:t xml:space="preserve">Why This Wave</w:t>
            </w:r>
          </w:p>
        </w:tc>
      </w:tr>
      <w:tr>
        <w:tc>
          <w:tcPr>
            <w:tcW w:type="dxa" w:w="2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color w:val="1F2937"/>
                <w:sz w:val="18"/>
                <w:szCs w:val="18"/>
              </w:rPr>
              <w:t xml:space="preserve">Execution Dashboard (execution)</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6B7280"/>
                <w:sz w:val="18"/>
                <w:szCs w:val="18"/>
              </w:rPr>
              <w:t xml:space="preserve">Z8-9</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6B7280"/>
                <w:sz w:val="18"/>
                <w:szCs w:val="18"/>
              </w:rPr>
              <w:t xml:space="preserve">Project Teams, O2S Ops</w:t>
            </w:r>
          </w:p>
        </w:tc>
        <w:tc>
          <w:tcPr>
            <w:tcW w:type="dxa" w:w="41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374151"/>
                <w:sz w:val="18"/>
                <w:szCs w:val="18"/>
              </w:rPr>
              <w:t xml:space="preserve">Needs formal requests flowing from Wave 4. Tracks active deployments, monitors utilization, flags exceptions — the operational cockpit.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Vendor Performance Scorecard (vendorscorecard)</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Z8-9</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O2S Ops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execution actuals accumulating. Auto-compiles vendor performance from delivery, billing accuracy, and safety data.</w:t>
            </w:r>
          </w:p>
        </w:tc>
      </w:tr>
      <w:tr>
        <w:tc>
          <w:tcPr>
            <w:tcW w:type="dxa" w:w="2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b/>
                <w:bCs/>
                <w:color w:val="1F2937"/>
                <w:sz w:val="18"/>
                <w:szCs w:val="18"/>
              </w:rPr>
              <w:t xml:space="preserve">Billing Anomaly Detection (anomaly)</w:t>
            </w:r>
          </w:p>
        </w:tc>
        <w:tc>
          <w:tcPr>
            <w:tcW w:type="dxa" w:w="8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6B7280"/>
                <w:sz w:val="18"/>
                <w:szCs w:val="18"/>
              </w:rPr>
              <w:t xml:space="preserve">Z8-9</w:t>
            </w:r>
          </w:p>
        </w:tc>
        <w:tc>
          <w:tcPr>
            <w:tcW w:type="dxa" w:w="160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6B7280"/>
                <w:sz w:val="18"/>
                <w:szCs w:val="18"/>
              </w:rPr>
              <w:t xml:space="preserve">Finance &amp; FP&amp;A</w:t>
            </w:r>
          </w:p>
        </w:tc>
        <w:tc>
          <w:tcPr>
            <w:tcW w:type="dxa" w:w="4160"/>
            <w:tcBorders>
              <w:top w:val="single" w:color="D1D5DB" w:sz="1"/>
              <w:left w:val="single" w:color="D1D5DB" w:sz="1"/>
              <w:bottom w:val="single" w:color="D1D5DB" w:sz="1"/>
              <w:right w:val="single" w:color="D1D5DB" w:sz="1"/>
            </w:tcBorders>
            <w:shd w:fill="F5F3FF" w:val="clear"/>
            <w:tcMar>
              <w:top w:type="dxa" w:w="60"/>
              <w:left w:type="dxa" w:w="100"/>
              <w:bottom w:type="dxa" w:w="60"/>
              <w:right w:type="dxa" w:w="100"/>
            </w:tcMar>
          </w:tcPr>
          <w:p>
            <w:r>
              <w:rPr>
                <w:rFonts w:ascii="Arial" w:cs="Arial" w:eastAsia="Arial" w:hAnsi="Arial"/>
                <w:color w:val="374151"/>
                <w:sz w:val="18"/>
                <w:szCs w:val="18"/>
              </w:rPr>
              <w:t xml:space="preserve">Triggered post-fulfillment from Wave 4. Detects billing anomalies using project-level patterns before invoice posting.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Regression Events (regression)</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Z6-7</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O2S Ops, Leadership</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gate conditions established across Waves 1-4. Monitors when gate conditions become false and fires regression-specific triggers.</w:t>
            </w:r>
          </w:p>
        </w:tc>
      </w:tr>
    </w:tbl>
    <w:p>
      <w:pPr>
        <w:pBdr>
          <w:left w:val="single" w:color="7C3AED" w:sz="12" w:space="8"/>
        </w:pBdr>
        <w:spacing w:after="120" w:before="200"/>
        <w:ind w:left="200"/>
      </w:pPr>
      <w:r>
        <w:rPr>
          <w:rFonts w:ascii="Arial" w:cs="Arial" w:eastAsia="Arial" w:hAnsi="Arial"/>
          <w:b/>
          <w:bCs/>
          <w:color w:val="7C3AED"/>
          <w:sz w:val="20"/>
          <w:szCs w:val="20"/>
        </w:rPr>
        <w:t xml:space="preserve">Unlocks: </w:t>
      </w:r>
      <w:r>
        <w:rPr>
          <w:rFonts w:ascii="Arial" w:cs="Arial" w:eastAsia="Arial" w:hAnsi="Arial"/>
          <w:color w:val="374151"/>
          <w:sz w:val="20"/>
          <w:szCs w:val="20"/>
        </w:rPr>
        <w:t xml:space="preserve">Execution actuals and vendor data → enables Wave 6 learning and calibration.</w:t>
      </w:r>
    </w:p>
    <w:p>
      <w:pPr>
        <w:spacing w:after="120" w:before="360"/>
      </w:pPr>
      <w:r>
        <w:rPr>
          <w:rFonts w:ascii="Arial" w:cs="Arial" w:eastAsia="Arial" w:hAnsi="Arial"/>
          <w:b/>
          <w:bCs/>
          <w:color w:val="0284C7"/>
          <w:sz w:val="32"/>
          <w:szCs w:val="32"/>
        </w:rPr>
        <w:t xml:space="preserve">Wave 6: Learn &amp; Compound</w:t>
      </w:r>
      <w:r>
        <w:rPr>
          <w:rFonts w:ascii="Arial" w:cs="Arial" w:eastAsia="Arial" w:hAnsi="Arial"/>
          <w:color w:val="6B7280"/>
          <w:sz w:val="24"/>
          <w:szCs w:val="24"/>
        </w:rPr>
        <w:t xml:space="preserve">  —  Builds on Wave 5 Actuals</w:t>
      </w:r>
    </w:p>
    <w:p>
      <w:pPr>
        <w:spacing w:after="200"/>
      </w:pPr>
      <w:r>
        <w:rPr>
          <w:rFonts w:ascii="Arial" w:cs="Arial" w:eastAsia="Arial" w:hAnsi="Arial"/>
          <w:color w:val="374151"/>
          <w:sz w:val="22"/>
          <w:szCs w:val="22"/>
        </w:rPr>
        <w:t xml:space="preserve">With execution actuals from Wave 5, close the feedback loop. Capture variance, analyze patterns, write calibrated defaults back to upstream templates, and sync risk-adjusted forecasts to FP&amp;A. This is where the system compounds its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600"/>
        <w:gridCol w:w="4160"/>
      </w:tblGrid>
      <w:tr>
        <w:tc>
          <w:tcPr>
            <w:tcW w:type="dxa" w:w="2800"/>
            <w:tcBorders>
              <w:top w:val="single" w:color="D1D5DB" w:sz="1"/>
              <w:left w:val="single" w:color="D1D5DB" w:sz="1"/>
              <w:bottom w:val="single" w:color="D1D5DB" w:sz="1"/>
              <w:right w:val="single" w:color="D1D5DB" w:sz="1"/>
            </w:tcBorders>
            <w:shd w:fill="0284C7" w:val="clear"/>
            <w:tcMar>
              <w:top w:type="dxa" w:w="60"/>
              <w:left w:type="dxa" w:w="100"/>
              <w:bottom w:type="dxa" w:w="60"/>
              <w:right w:type="dxa" w:w="100"/>
            </w:tcMar>
          </w:tcPr>
          <w:p>
            <w:r>
              <w:rPr>
                <w:rFonts w:ascii="Arial" w:cs="Arial" w:eastAsia="Arial" w:hAnsi="Arial"/>
                <w:b/>
                <w:bCs/>
                <w:color w:val="FFFFFF"/>
                <w:sz w:val="18"/>
                <w:szCs w:val="18"/>
              </w:rPr>
              <w:t xml:space="preserve">Card</w:t>
            </w:r>
          </w:p>
        </w:tc>
        <w:tc>
          <w:tcPr>
            <w:tcW w:type="dxa" w:w="800"/>
            <w:tcBorders>
              <w:top w:val="single" w:color="D1D5DB" w:sz="1"/>
              <w:left w:val="single" w:color="D1D5DB" w:sz="1"/>
              <w:bottom w:val="single" w:color="D1D5DB" w:sz="1"/>
              <w:right w:val="single" w:color="D1D5DB" w:sz="1"/>
            </w:tcBorders>
            <w:shd w:fill="0284C7"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600"/>
            <w:tcBorders>
              <w:top w:val="single" w:color="D1D5DB" w:sz="1"/>
              <w:left w:val="single" w:color="D1D5DB" w:sz="1"/>
              <w:bottom w:val="single" w:color="D1D5DB" w:sz="1"/>
              <w:right w:val="single" w:color="D1D5DB" w:sz="1"/>
            </w:tcBorders>
            <w:shd w:fill="0284C7" w:val="clear"/>
            <w:tcMar>
              <w:top w:type="dxa" w:w="60"/>
              <w:left w:type="dxa" w:w="100"/>
              <w:bottom w:type="dxa" w:w="60"/>
              <w:right w:type="dxa" w:w="100"/>
            </w:tcMar>
          </w:tcPr>
          <w:p>
            <w:r>
              <w:rPr>
                <w:rFonts w:ascii="Arial" w:cs="Arial" w:eastAsia="Arial" w:hAnsi="Arial"/>
                <w:b/>
                <w:bCs/>
                <w:color w:val="FFFFFF"/>
                <w:sz w:val="18"/>
                <w:szCs w:val="18"/>
              </w:rPr>
              <w:t xml:space="preserve">Personas</w:t>
            </w:r>
          </w:p>
        </w:tc>
        <w:tc>
          <w:tcPr>
            <w:tcW w:type="dxa" w:w="4160"/>
            <w:tcBorders>
              <w:top w:val="single" w:color="D1D5DB" w:sz="1"/>
              <w:left w:val="single" w:color="D1D5DB" w:sz="1"/>
              <w:bottom w:val="single" w:color="D1D5DB" w:sz="1"/>
              <w:right w:val="single" w:color="D1D5DB" w:sz="1"/>
            </w:tcBorders>
            <w:shd w:fill="0284C7" w:val="clear"/>
            <w:tcMar>
              <w:top w:type="dxa" w:w="60"/>
              <w:left w:type="dxa" w:w="100"/>
              <w:bottom w:type="dxa" w:w="60"/>
              <w:right w:type="dxa" w:w="100"/>
            </w:tcMar>
          </w:tcPr>
          <w:p>
            <w:r>
              <w:rPr>
                <w:rFonts w:ascii="Arial" w:cs="Arial" w:eastAsia="Arial" w:hAnsi="Arial"/>
                <w:b/>
                <w:bCs/>
                <w:color w:val="FFFFFF"/>
                <w:sz w:val="18"/>
                <w:szCs w:val="18"/>
              </w:rPr>
              <w:t xml:space="preserve">Why This Wave</w:t>
            </w:r>
          </w:p>
        </w:tc>
      </w:tr>
      <w:tr>
        <w:tc>
          <w:tcPr>
            <w:tcW w:type="dxa" w:w="2800"/>
            <w:tcBorders>
              <w:top w:val="single" w:color="D1D5DB" w:sz="1"/>
              <w:left w:val="single" w:color="D1D5DB" w:sz="1"/>
              <w:bottom w:val="single" w:color="D1D5DB" w:sz="1"/>
              <w:right w:val="single" w:color="D1D5DB" w:sz="1"/>
            </w:tcBorders>
            <w:shd w:fill="F0F9FF" w:val="clear"/>
            <w:tcMar>
              <w:top w:type="dxa" w:w="60"/>
              <w:left w:type="dxa" w:w="100"/>
              <w:bottom w:type="dxa" w:w="60"/>
              <w:right w:type="dxa" w:w="100"/>
            </w:tcMar>
          </w:tcPr>
          <w:p>
            <w:r>
              <w:rPr>
                <w:rFonts w:ascii="Arial" w:cs="Arial" w:eastAsia="Arial" w:hAnsi="Arial"/>
                <w:b/>
                <w:bCs/>
                <w:color w:val="1F2937"/>
                <w:sz w:val="18"/>
                <w:szCs w:val="18"/>
              </w:rPr>
              <w:t xml:space="preserve">Learning Flywheel (flywheel)</w:t>
            </w:r>
          </w:p>
        </w:tc>
        <w:tc>
          <w:tcPr>
            <w:tcW w:type="dxa" w:w="800"/>
            <w:tcBorders>
              <w:top w:val="single" w:color="D1D5DB" w:sz="1"/>
              <w:left w:val="single" w:color="D1D5DB" w:sz="1"/>
              <w:bottom w:val="single" w:color="D1D5DB" w:sz="1"/>
              <w:right w:val="single" w:color="D1D5DB" w:sz="1"/>
            </w:tcBorders>
            <w:shd w:fill="F0F9FF" w:val="clear"/>
            <w:tcMar>
              <w:top w:type="dxa" w:w="60"/>
              <w:left w:type="dxa" w:w="100"/>
              <w:bottom w:type="dxa" w:w="60"/>
              <w:right w:type="dxa" w:w="100"/>
            </w:tcMar>
          </w:tcPr>
          <w:p>
            <w:r>
              <w:rPr>
                <w:rFonts w:ascii="Arial" w:cs="Arial" w:eastAsia="Arial" w:hAnsi="Arial"/>
                <w:color w:val="6B7280"/>
                <w:sz w:val="18"/>
                <w:szCs w:val="18"/>
              </w:rPr>
              <w:t xml:space="preserve">Z8-9</w:t>
            </w:r>
          </w:p>
        </w:tc>
        <w:tc>
          <w:tcPr>
            <w:tcW w:type="dxa" w:w="1600"/>
            <w:tcBorders>
              <w:top w:val="single" w:color="D1D5DB" w:sz="1"/>
              <w:left w:val="single" w:color="D1D5DB" w:sz="1"/>
              <w:bottom w:val="single" w:color="D1D5DB" w:sz="1"/>
              <w:right w:val="single" w:color="D1D5DB" w:sz="1"/>
            </w:tcBorders>
            <w:shd w:fill="F0F9FF" w:val="clear"/>
            <w:tcMar>
              <w:top w:type="dxa" w:w="60"/>
              <w:left w:type="dxa" w:w="100"/>
              <w:bottom w:type="dxa" w:w="60"/>
              <w:right w:type="dxa" w:w="100"/>
            </w:tcMar>
          </w:tcPr>
          <w:p>
            <w:r>
              <w:rPr>
                <w:rFonts w:ascii="Arial" w:cs="Arial" w:eastAsia="Arial" w:hAnsi="Arial"/>
                <w:color w:val="6B7280"/>
                <w:sz w:val="18"/>
                <w:szCs w:val="18"/>
              </w:rPr>
              <w:t xml:space="preserve">O2S Ops, Leadership, Finance</w:t>
            </w:r>
          </w:p>
        </w:tc>
        <w:tc>
          <w:tcPr>
            <w:tcW w:type="dxa" w:w="4160"/>
            <w:tcBorders>
              <w:top w:val="single" w:color="D1D5DB" w:sz="1"/>
              <w:left w:val="single" w:color="D1D5DB" w:sz="1"/>
              <w:bottom w:val="single" w:color="D1D5DB" w:sz="1"/>
              <w:right w:val="single" w:color="D1D5DB" w:sz="1"/>
            </w:tcBorders>
            <w:shd w:fill="F0F9FF" w:val="clear"/>
            <w:tcMar>
              <w:top w:type="dxa" w:w="60"/>
              <w:left w:type="dxa" w:w="100"/>
              <w:bottom w:type="dxa" w:w="60"/>
              <w:right w:type="dxa" w:w="100"/>
            </w:tcMar>
          </w:tcPr>
          <w:p>
            <w:r>
              <w:rPr>
                <w:rFonts w:ascii="Arial" w:cs="Arial" w:eastAsia="Arial" w:hAnsi="Arial"/>
                <w:color w:val="374151"/>
                <w:sz w:val="18"/>
                <w:szCs w:val="18"/>
              </w:rPr>
              <w:t xml:space="preserve">Needs actuals vs. assumptions from Wave 5 execution. Captures variance, analyzes patterns, and writes back calibrated defaults to upstream templates.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FP&amp;A Sync (fpa)</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Z1-3</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6B7280"/>
                <w:sz w:val="18"/>
                <w:szCs w:val="18"/>
              </w:rPr>
              <w:t xml:space="preserve">Finance &amp; FP&amp;A</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Needs calibrated data from flywheel learning. Syncs risk-adjusted, time-phased revenue and margin forecasts back to FP&amp;A tools.</w:t>
            </w:r>
          </w:p>
        </w:tc>
      </w:tr>
    </w:tbl>
    <w:p>
      <w:pPr>
        <w:pBdr>
          <w:left w:val="single" w:color="0284C7" w:sz="12" w:space="8"/>
        </w:pBdr>
        <w:spacing w:after="120" w:before="200"/>
        <w:ind w:left="200"/>
      </w:pPr>
      <w:r>
        <w:rPr>
          <w:rFonts w:ascii="Arial" w:cs="Arial" w:eastAsia="Arial" w:hAnsi="Arial"/>
          <w:b/>
          <w:bCs/>
          <w:color w:val="0284C7"/>
          <w:sz w:val="20"/>
          <w:szCs w:val="20"/>
        </w:rPr>
        <w:t xml:space="preserve">Unlocks: </w:t>
      </w:r>
      <w:r>
        <w:rPr>
          <w:rFonts w:ascii="Arial" w:cs="Arial" w:eastAsia="Arial" w:hAnsi="Arial"/>
          <w:color w:val="374151"/>
          <w:sz w:val="20"/>
          <w:szCs w:val="20"/>
        </w:rPr>
        <w:t xml:space="preserve">Calibrated templates and defaults loop back to Wave 1, making every subsequent cycle more accurate.</w:t>
      </w:r>
    </w:p>
    <w:p>
      <w:r>
        <w:br w:type="page"/>
      </w:r>
    </w:p>
    <w:p>
      <w:pPr>
        <w:spacing w:after="200"/>
      </w:pPr>
      <w:r>
        <w:rPr>
          <w:rFonts w:ascii="Arial" w:cs="Arial" w:eastAsia="Arial" w:hAnsi="Arial"/>
          <w:b/>
          <w:bCs/>
          <w:color w:val="111827"/>
          <w:sz w:val="36"/>
          <w:szCs w:val="36"/>
        </w:rPr>
        <w:t xml:space="preserve">Wave Summary: Dependency Chain</w:t>
      </w:r>
    </w:p>
    <w:p>
      <w:pPr>
        <w:spacing w:after="120"/>
      </w:pPr>
      <w:r>
        <w:rPr>
          <w:rFonts w:ascii="Arial" w:cs="Arial" w:eastAsia="Arial" w:hAnsi="Arial"/>
          <w:b/>
          <w:bCs/>
          <w:color w:val="374151"/>
          <w:sz w:val="24"/>
          <w:szCs w:val="24"/>
        </w:rPr>
        <w:t xml:space="preserve">Wave 1 (Foundation) → Wave 2 (Demand Intelligence) → Wave 3 (Decision Engines) → Wave 4 (Validate &amp; Fulfill) → Wave 5 (Execute &amp; Monitor) → Wave 6 (Learn &amp; Compound)</w:t>
      </w:r>
    </w:p>
    <w:p>
      <w:pPr>
        <w:spacing w:after="200"/>
      </w:pPr>
      <w:r>
        <w:rPr>
          <w:rFonts w:ascii="Arial" w:cs="Arial" w:eastAsia="Arial" w:hAnsi="Arial"/>
          <w:color w:val="6B7280"/>
          <w:sz w:val="22"/>
          <w:szCs w:val="22"/>
        </w:rPr>
        <w:t xml:space="preserve">Each wave depends on the outputs of the previous wave. Wave 6 outputs loop back to Wave 1, making every subsequent cycle more accurate. The Custom Frontend spans all waves as it evolves with each release.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c>
          <w:tcPr>
            <w:tcW w:type="dxa" w:w="228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Wave 1</w:t>
            </w:r>
          </w:p>
          <w:p>
            <w:pPr>
              <w:jc w:val="center"/>
            </w:pPr>
            <w:r>
              <w:rPr>
                <w:rFonts w:ascii="Arial" w:cs="Arial" w:eastAsia="Arial" w:hAnsi="Arial"/>
                <w:color w:val="FFFFFF"/>
                <w:sz w:val="18"/>
                <w:szCs w:val="18"/>
              </w:rPr>
              <w:t xml:space="preserve">Foundation</w:t>
            </w:r>
          </w:p>
        </w:tc>
        <w:tc>
          <w:tcPr>
            <w:tcW w:type="dxa" w:w="2280"/>
            <w:tcBorders>
              <w:top w:val="single" w:color="D1D5DB" w:sz="1"/>
              <w:left w:val="single" w:color="D1D5DB" w:sz="1"/>
              <w:bottom w:val="single" w:color="D1D5DB" w:sz="1"/>
              <w:right w:val="single" w:color="D1D5DB" w:sz="1"/>
            </w:tcBorders>
            <w:shd w:fill="05966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Wave 2</w:t>
            </w:r>
          </w:p>
          <w:p>
            <w:pPr>
              <w:jc w:val="center"/>
            </w:pPr>
            <w:r>
              <w:rPr>
                <w:rFonts w:ascii="Arial" w:cs="Arial" w:eastAsia="Arial" w:hAnsi="Arial"/>
                <w:color w:val="FFFFFF"/>
                <w:sz w:val="18"/>
                <w:szCs w:val="18"/>
              </w:rPr>
              <w:t xml:space="preserve">Demand Intelligence</w:t>
            </w:r>
          </w:p>
        </w:tc>
        <w:tc>
          <w:tcPr>
            <w:tcW w:type="dxa" w:w="2280"/>
            <w:tcBorders>
              <w:top w:val="single" w:color="D1D5DB" w:sz="1"/>
              <w:left w:val="single" w:color="D1D5DB" w:sz="1"/>
              <w:bottom w:val="single" w:color="D1D5DB" w:sz="1"/>
              <w:right w:val="single" w:color="D1D5DB" w:sz="1"/>
            </w:tcBorders>
            <w:shd w:fill="D9770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Wave 3</w:t>
            </w:r>
          </w:p>
          <w:p>
            <w:pPr>
              <w:jc w:val="center"/>
            </w:pPr>
            <w:r>
              <w:rPr>
                <w:rFonts w:ascii="Arial" w:cs="Arial" w:eastAsia="Arial" w:hAnsi="Arial"/>
                <w:color w:val="FFFFFF"/>
                <w:sz w:val="18"/>
                <w:szCs w:val="18"/>
              </w:rPr>
              <w:t xml:space="preserve">Decision Engines</w:t>
            </w:r>
          </w:p>
        </w:tc>
        <w:tc>
          <w:tcPr>
            <w:tcW w:type="dxa" w:w="2280"/>
            <w:tcBorders>
              <w:top w:val="single" w:color="D1D5DB" w:sz="1"/>
              <w:left w:val="single" w:color="D1D5DB" w:sz="1"/>
              <w:bottom w:val="single" w:color="D1D5DB" w:sz="1"/>
              <w:right w:val="single" w:color="D1D5DB" w:sz="1"/>
            </w:tcBorders>
            <w:shd w:fill="E11D48"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Wave 4</w:t>
            </w:r>
          </w:p>
          <w:p>
            <w:pPr>
              <w:jc w:val="center"/>
            </w:pPr>
            <w:r>
              <w:rPr>
                <w:rFonts w:ascii="Arial" w:cs="Arial" w:eastAsia="Arial" w:hAnsi="Arial"/>
                <w:color w:val="FFFFFF"/>
                <w:sz w:val="18"/>
                <w:szCs w:val="18"/>
              </w:rPr>
              <w:t xml:space="preserve">Validate &amp; Fulfill</w:t>
            </w:r>
          </w:p>
        </w:tc>
        <w:tc>
          <w:tcPr>
            <w:tcW w:type="dxa" w:w="2280"/>
            <w:tcBorders>
              <w:top w:val="single" w:color="D1D5DB" w:sz="1"/>
              <w:left w:val="single" w:color="D1D5DB" w:sz="1"/>
              <w:bottom w:val="single" w:color="D1D5DB" w:sz="1"/>
              <w:right w:val="single" w:color="D1D5DB" w:sz="1"/>
            </w:tcBorders>
            <w:shd w:fill="7C3AE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Wave 5</w:t>
            </w:r>
          </w:p>
          <w:p>
            <w:pPr>
              <w:jc w:val="center"/>
            </w:pPr>
            <w:r>
              <w:rPr>
                <w:rFonts w:ascii="Arial" w:cs="Arial" w:eastAsia="Arial" w:hAnsi="Arial"/>
                <w:color w:val="FFFFFF"/>
                <w:sz w:val="18"/>
                <w:szCs w:val="18"/>
              </w:rPr>
              <w:t xml:space="preserve">Execute &amp; Monitor</w:t>
            </w:r>
          </w:p>
        </w:tc>
        <w:tc>
          <w:tcPr>
            <w:tcW w:type="dxa" w:w="2280"/>
            <w:tcBorders>
              <w:top w:val="single" w:color="D1D5DB" w:sz="1"/>
              <w:left w:val="single" w:color="D1D5DB" w:sz="1"/>
              <w:bottom w:val="single" w:color="D1D5DB" w:sz="1"/>
              <w:right w:val="single" w:color="D1D5DB" w:sz="1"/>
            </w:tcBorders>
            <w:shd w:fill="0284C7"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Wave 6</w:t>
            </w:r>
          </w:p>
          <w:p>
            <w:pPr>
              <w:jc w:val="center"/>
            </w:pPr>
            <w:r>
              <w:rPr>
                <w:rFonts w:ascii="Arial" w:cs="Arial" w:eastAsia="Arial" w:hAnsi="Arial"/>
                <w:color w:val="FFFFFF"/>
                <w:sz w:val="18"/>
                <w:szCs w:val="18"/>
              </w:rPr>
              <w:t xml:space="preserve">Learn &amp; Compound</w:t>
            </w:r>
          </w:p>
        </w:tc>
      </w:tr>
      <w:tr>
        <w:tc>
          <w:tcPr>
            <w:tcW w:type="dxa" w:w="228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rFonts w:ascii="Arial" w:cs="Arial" w:eastAsia="Arial" w:hAnsi="Arial"/>
                <w:b/>
                <w:bCs/>
                <w:color w:val="4F46E5"/>
                <w:sz w:val="24"/>
                <w:szCs w:val="24"/>
              </w:rPr>
              <w:t xml:space="preserve">3 cards</w:t>
            </w:r>
          </w:p>
        </w:tc>
        <w:tc>
          <w:tcPr>
            <w:tcW w:type="dxa" w:w="2280"/>
            <w:tcBorders>
              <w:top w:val="single" w:color="D1D5DB" w:sz="1"/>
              <w:left w:val="single" w:color="D1D5DB" w:sz="1"/>
              <w:bottom w:val="single" w:color="D1D5DB" w:sz="1"/>
              <w:right w:val="single" w:color="D1D5DB" w:sz="1"/>
            </w:tcBorders>
            <w:shd w:fill="ECFDF5" w:val="clear"/>
            <w:tcMar>
              <w:top w:type="dxa" w:w="80"/>
              <w:left w:type="dxa" w:w="100"/>
              <w:bottom w:type="dxa" w:w="80"/>
              <w:right w:type="dxa" w:w="100"/>
            </w:tcMar>
          </w:tcPr>
          <w:p>
            <w:pPr>
              <w:jc w:val="center"/>
            </w:pPr>
            <w:r>
              <w:rPr>
                <w:rFonts w:ascii="Arial" w:cs="Arial" w:eastAsia="Arial" w:hAnsi="Arial"/>
                <w:b/>
                <w:bCs/>
                <w:color w:val="059669"/>
                <w:sz w:val="24"/>
                <w:szCs w:val="24"/>
              </w:rPr>
              <w:t xml:space="preserve">4 cards</w:t>
            </w:r>
          </w:p>
        </w:tc>
        <w:tc>
          <w:tcPr>
            <w:tcW w:type="dxa" w:w="2280"/>
            <w:tcBorders>
              <w:top w:val="single" w:color="D1D5DB" w:sz="1"/>
              <w:left w:val="single" w:color="D1D5DB" w:sz="1"/>
              <w:bottom w:val="single" w:color="D1D5DB" w:sz="1"/>
              <w:right w:val="single" w:color="D1D5DB" w:sz="1"/>
            </w:tcBorders>
            <w:shd w:fill="FFFBEB" w:val="clear"/>
            <w:tcMar>
              <w:top w:type="dxa" w:w="80"/>
              <w:left w:type="dxa" w:w="100"/>
              <w:bottom w:type="dxa" w:w="80"/>
              <w:right w:type="dxa" w:w="100"/>
            </w:tcMar>
          </w:tcPr>
          <w:p>
            <w:pPr>
              <w:jc w:val="center"/>
            </w:pPr>
            <w:r>
              <w:rPr>
                <w:rFonts w:ascii="Arial" w:cs="Arial" w:eastAsia="Arial" w:hAnsi="Arial"/>
                <w:b/>
                <w:bCs/>
                <w:color w:val="D97706"/>
                <w:sz w:val="24"/>
                <w:szCs w:val="24"/>
              </w:rPr>
              <w:t xml:space="preserve">4 cards</w:t>
            </w:r>
          </w:p>
        </w:tc>
        <w:tc>
          <w:tcPr>
            <w:tcW w:type="dxa" w:w="2280"/>
            <w:tcBorders>
              <w:top w:val="single" w:color="D1D5DB" w:sz="1"/>
              <w:left w:val="single" w:color="D1D5DB" w:sz="1"/>
              <w:bottom w:val="single" w:color="D1D5DB" w:sz="1"/>
              <w:right w:val="single" w:color="D1D5DB" w:sz="1"/>
            </w:tcBorders>
            <w:shd w:fill="FFF1F2" w:val="clear"/>
            <w:tcMar>
              <w:top w:type="dxa" w:w="80"/>
              <w:left w:type="dxa" w:w="100"/>
              <w:bottom w:type="dxa" w:w="80"/>
              <w:right w:type="dxa" w:w="100"/>
            </w:tcMar>
          </w:tcPr>
          <w:p>
            <w:pPr>
              <w:jc w:val="center"/>
            </w:pPr>
            <w:r>
              <w:rPr>
                <w:rFonts w:ascii="Arial" w:cs="Arial" w:eastAsia="Arial" w:hAnsi="Arial"/>
                <w:b/>
                <w:bCs/>
                <w:color w:val="E11D48"/>
                <w:sz w:val="24"/>
                <w:szCs w:val="24"/>
              </w:rPr>
              <w:t xml:space="preserve">4 cards</w:t>
            </w:r>
          </w:p>
        </w:tc>
        <w:tc>
          <w:tcPr>
            <w:tcW w:type="dxa" w:w="2280"/>
            <w:tcBorders>
              <w:top w:val="single" w:color="D1D5DB" w:sz="1"/>
              <w:left w:val="single" w:color="D1D5DB" w:sz="1"/>
              <w:bottom w:val="single" w:color="D1D5DB" w:sz="1"/>
              <w:right w:val="single" w:color="D1D5DB" w:sz="1"/>
            </w:tcBorders>
            <w:shd w:fill="F5F3FF" w:val="clear"/>
            <w:tcMar>
              <w:top w:type="dxa" w:w="80"/>
              <w:left w:type="dxa" w:w="100"/>
              <w:bottom w:type="dxa" w:w="80"/>
              <w:right w:type="dxa" w:w="100"/>
            </w:tcMar>
          </w:tcPr>
          <w:p>
            <w:pPr>
              <w:jc w:val="center"/>
            </w:pPr>
            <w:r>
              <w:rPr>
                <w:rFonts w:ascii="Arial" w:cs="Arial" w:eastAsia="Arial" w:hAnsi="Arial"/>
                <w:b/>
                <w:bCs/>
                <w:color w:val="7C3AED"/>
                <w:sz w:val="24"/>
                <w:szCs w:val="24"/>
              </w:rPr>
              <w:t xml:space="preserve">4 cards</w:t>
            </w:r>
          </w:p>
        </w:tc>
        <w:tc>
          <w:tcPr>
            <w:tcW w:type="dxa" w:w="2280"/>
            <w:tcBorders>
              <w:top w:val="single" w:color="D1D5DB" w:sz="1"/>
              <w:left w:val="single" w:color="D1D5DB" w:sz="1"/>
              <w:bottom w:val="single" w:color="D1D5DB" w:sz="1"/>
              <w:right w:val="single" w:color="D1D5DB" w:sz="1"/>
            </w:tcBorders>
            <w:shd w:fill="F0F9FF" w:val="clear"/>
            <w:tcMar>
              <w:top w:type="dxa" w:w="80"/>
              <w:left w:type="dxa" w:w="100"/>
              <w:bottom w:type="dxa" w:w="80"/>
              <w:right w:type="dxa" w:w="100"/>
            </w:tcMar>
          </w:tcPr>
          <w:p>
            <w:pPr>
              <w:jc w:val="center"/>
            </w:pPr>
            <w:r>
              <w:rPr>
                <w:rFonts w:ascii="Arial" w:cs="Arial" w:eastAsia="Arial" w:hAnsi="Arial"/>
                <w:b/>
                <w:bCs/>
                <w:color w:val="0284C7"/>
                <w:sz w:val="24"/>
                <w:szCs w:val="24"/>
              </w:rPr>
              <w:t xml:space="preserve">2 cards</w:t>
            </w:r>
          </w:p>
        </w:tc>
      </w:tr>
    </w:tbl>
    <w:p>
      <w:pPr>
        <w:spacing w:before="200"/>
        <w:jc w:val="center"/>
      </w:pPr>
      <w:r>
        <w:rPr>
          <w:rFonts w:ascii="Arial" w:cs="Arial" w:eastAsia="Arial" w:hAnsi="Arial"/>
          <w:b/>
          <w:bCs/>
          <w:color w:val="374151"/>
          <w:sz w:val="24"/>
          <w:szCs w:val="24"/>
        </w:rPr>
        <w:t xml:space="preserve">Total: 21 workflow cards across 6 build waves</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Preliminary. For discussion only.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O2S Command Center — Build Wave Sequencing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11827"/>
      <w:sz w:val="40"/>
      <w:szCs w:val="40"/>
    </w:rPr>
  </w:style>
  <w:style w:type="paragraph" w:styleId="Heading2">
    <w:name w:val="Heading 2"/>
    <w:basedOn w:val="Normal"/>
    <w:next w:val="Normal"/>
    <w:qFormat/>
    <w:pPr>
      <w:spacing w:after="180" w:before="180"/>
      <w:outlineLvl w:val="1"/>
    </w:pPr>
    <w:rPr>
      <w:rFonts w:ascii="Arial" w:cs="Arial" w:eastAsia="Arial" w:hAnsi="Arial"/>
      <w:b/>
      <w:bCs/>
      <w:color w:val="1F293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2026-04-09T19:23:12.474Z</dcterms:created>
  <dcterms:modified xsi:type="dcterms:W3CDTF">2026-04-09T19:23:12.474Z</dcterms:modified>
</cp:coreProperties>
</file>

<file path=docProps/custom.xml><?xml version="1.0" encoding="utf-8"?>
<Properties xmlns="http://schemas.openxmlformats.org/officeDocument/2006/custom-properties" xmlns:vt="http://schemas.openxmlformats.org/officeDocument/2006/docPropsVTypes"/>
</file>