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O2S Command Center</w:t>
      </w:r>
    </w:p>
    <w:p>
      <w:pPr>
        <w:spacing w:after="200"/>
        <w:jc w:val="center"/>
      </w:pPr>
      <w:r>
        <w:rPr>
          <w:rFonts w:ascii="Arial" w:cs="Arial" w:eastAsia="Arial" w:hAnsi="Arial"/>
          <w:color w:val="2D3748"/>
          <w:sz w:val="36"/>
          <w:szCs w:val="36"/>
        </w:rPr>
        <w:t xml:space="preserve">Persona-Specific Walkthrough Plan</w:t>
      </w:r>
    </w:p>
    <w:p>
      <w:pPr>
        <w:spacing w:after="600"/>
        <w:jc w:val="center"/>
      </w:pPr>
      <w:r>
        <w:rPr>
          <w:rFonts w:ascii="Arial" w:cs="Arial" w:eastAsia="Arial" w:hAnsi="Arial"/>
          <w:i/>
          <w:iCs/>
          <w:color w:val="64748B"/>
          <w:sz w:val="26"/>
          <w:szCs w:val="26"/>
        </w:rPr>
        <w:t xml:space="preserve">Equipment Pillar — Demand Funnel Zones</w:t>
      </w:r>
    </w:p>
    <w:p>
      <w:pPr>
        <w:spacing w:after="100"/>
        <w:jc w:val="center"/>
      </w:pPr>
      <w:r>
        <w:rPr>
          <w:rFonts w:ascii="Arial" w:cs="Arial" w:eastAsia="Arial" w:hAnsi="Arial"/>
          <w:color w:val="64748B"/>
          <w:sz w:val="22"/>
          <w:szCs w:val="22"/>
        </w:rPr>
        <w:t xml:space="preserve">Planning Document — April 2026</w:t>
      </w:r>
    </w:p>
    <w:p>
      <w:pPr>
        <w:spacing w:after="200"/>
        <w:jc w:val="center"/>
      </w:pPr>
      <w:r>
        <w:rPr>
          <w:rFonts w:ascii="Arial" w:cs="Arial" w:eastAsia="Arial" w:hAnsi="Arial"/>
          <w:i/>
          <w:iCs/>
          <w:color w:val="64748B"/>
          <w:sz w:val="20"/>
          <w:szCs w:val="20"/>
        </w:rPr>
        <w:t xml:space="preserve">Replaces generic “Play 3.18 Podcast Walkthrough” with persona-aware “Walkthrough”</w:t>
      </w:r>
    </w:p>
    <w:p>
      <w:r>
        <w:br w:type="page"/>
      </w:r>
    </w:p>
    <w:p>
      <w:pPr>
        <w:pStyle w:val="Heading1"/>
      </w:pPr>
      <w:r>
        <w:rPr>
          <w:rFonts w:ascii="Arial" w:cs="Arial" w:eastAsia="Arial" w:hAnsi="Arial"/>
        </w:rPr>
        <w:t xml:space="preserve">Executive Summary</w:t>
      </w:r>
    </w:p>
    <w:p>
      <w:pPr>
        <w:spacing w:after="120" w:line="276"/>
      </w:pPr>
      <w:r>
        <w:rPr>
          <w:rFonts w:ascii="Arial" w:cs="Arial" w:eastAsia="Arial" w:hAnsi="Arial"/>
          <w:color w:val="2D3748"/>
          <w:sz w:val="22"/>
          <w:szCs w:val="22"/>
        </w:rPr>
        <w:t xml:space="preserve">This document defines the recommended walkthrough content for each of the four personas in the O2S Command Center wireframe. The current implementation uses a single, generic 7-step tour labeled “Play 3.18 Podcast Walkthrough” that highlights all cards regardless of which persona is selected. The proposed change replaces this with a persona-specific “Walkthrough” button that adapts its content — step titles, highlighted cards, and narrative text — to speak directly to the needs, concerns, and vocabulary of the active persona.</w:t>
      </w:r>
    </w:p>
    <w:p>
      <w:pPr>
        <w:spacing w:after="200" w:before="200"/>
      </w:pPr>
    </w:p>
    <w:p>
      <w:pPr>
        <w:pStyle w:val="Heading1"/>
      </w:pPr>
      <w:r>
        <w:rPr>
          <w:rFonts w:ascii="Arial" w:cs="Arial" w:eastAsia="Arial" w:hAnsi="Arial"/>
        </w:rP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Proposed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Button Label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"Play 3.18 Podcast Walkthrough"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"Walkthrough"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Step Count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7 steps (fixed)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5 steps per persona (4 variants)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Card Highlighting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Generic — highlights all cards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Persona-specific — highlights only cards visible to active persona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Narrative Voice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Third-person overview (podcast style)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Second-person direct address (“you” / “your”)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Data Source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Single tourData array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tourDataByPersona object keyed by persona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Spine Highlight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Step 2 only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Step 1 for all personas (orientation step)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Tour Overlay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Same for all personas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Title and transcript change per persona</w:t>
            </w:r>
          </w:p>
        </w:tc>
      </w:tr>
    </w:tbl>
    <w:p>
      <w:pPr>
        <w:spacing w:after="200" w:before="200"/>
      </w:pPr>
    </w:p>
    <w:p>
      <w:pPr>
        <w:pStyle w:val="Heading1"/>
      </w:pPr>
      <w:r>
        <w:rPr>
          <w:rFonts w:ascii="Arial" w:cs="Arial" w:eastAsia="Arial" w:hAnsi="Arial"/>
        </w:rPr>
        <w:t xml:space="preserve">Implementation Architecture</w:t>
      </w:r>
    </w:p>
    <w:p>
      <w:pPr>
        <w:spacing w:after="120" w:line="276"/>
      </w:pPr>
      <w:r>
        <w:rPr>
          <w:rFonts w:ascii="Arial" w:cs="Arial" w:eastAsia="Arial" w:hAnsi="Arial"/>
          <w:color w:val="2D3748"/>
          <w:sz w:val="22"/>
          <w:szCs w:val="22"/>
        </w:rPr>
        <w:t xml:space="preserve">The current tourData is a flat array of 7 objects. The proposed change replaces it with a tourDataByPersona object containing four arrays (one per persona ID). The tour overlay reads from tourDataByPersona[activePersona] instead of tourData. The targetNodes arrays in each step reference only the card IDs visible to that persona in the PERSONA_EQUIPMENT_GRID. The button onClick resets tourStep to 0 and activates the tour as before — no persona-switching logic changes are needed since the data is reactive to activePersona.</w:t>
      </w:r>
    </w:p>
    <w:p>
      <w:pPr>
        <w:spacing w:after="200" w:before="200"/>
      </w:pPr>
    </w:p>
    <w:p>
      <w:pPr>
        <w:spacing w:after="120" w:line="276"/>
      </w:pPr>
      <w:r>
        <w:rPr>
          <w:rFonts w:ascii="Arial" w:cs="Arial" w:eastAsia="Arial" w:hAnsi="Arial"/>
          <w:b/>
          <w:bCs/>
          <w:color w:val="2D3748"/>
          <w:sz w:val="22"/>
          <w:szCs w:val="22"/>
        </w:rPr>
        <w:t xml:space="preserve">Code change: </w:t>
      </w:r>
      <w:r>
        <w:rPr>
          <w:rFonts w:ascii="Arial" w:cs="Arial" w:eastAsia="Arial" w:hAnsi="Arial"/>
          <w:color w:val="2D3748"/>
          <w:sz w:val="22"/>
          <w:szCs w:val="22"/>
        </w:rPr>
        <w:t xml:space="preserve">Replace </w:t>
      </w:r>
      <w:r>
        <w:rPr>
          <w:rFonts w:ascii="Arial" w:cs="Arial" w:eastAsia="Arial" w:hAnsi="Arial"/>
          <w:i/>
          <w:iCs/>
          <w:color w:val="4338CA"/>
          <w:sz w:val="22"/>
          <w:szCs w:val="22"/>
        </w:rPr>
        <w:t xml:space="preserve">const tourData = [...]</w:t>
      </w:r>
      <w:r>
        <w:rPr>
          <w:rFonts w:ascii="Arial" w:cs="Arial" w:eastAsia="Arial" w:hAnsi="Arial"/>
          <w:color w:val="2D3748"/>
          <w:sz w:val="22"/>
          <w:szCs w:val="22"/>
        </w:rPr>
        <w:t xml:space="preserve"> with </w:t>
      </w:r>
      <w:r>
        <w:rPr>
          <w:rFonts w:ascii="Arial" w:cs="Arial" w:eastAsia="Arial" w:hAnsi="Arial"/>
          <w:i/>
          <w:iCs/>
          <w:color w:val="4338CA"/>
          <w:sz w:val="22"/>
          <w:szCs w:val="22"/>
        </w:rPr>
        <w:t xml:space="preserve">const tourDataByPersona = { 'project-teams': [...], 'o2s-ops': [...], 'leadership': [...], 'finance': [...] }</w:t>
      </w:r>
      <w:r>
        <w:rPr>
          <w:rFonts w:ascii="Arial" w:cs="Arial" w:eastAsia="Arial" w:hAnsi="Arial"/>
          <w:color w:val="2D3748"/>
          <w:sz w:val="22"/>
          <w:szCs w:val="22"/>
        </w:rPr>
        <w:t xml:space="preserve"> and update all references from </w:t>
      </w:r>
      <w:r>
        <w:rPr>
          <w:rFonts w:ascii="Arial" w:cs="Arial" w:eastAsia="Arial" w:hAnsi="Arial"/>
          <w:i/>
          <w:iCs/>
          <w:color w:val="4338CA"/>
          <w:sz w:val="22"/>
          <w:szCs w:val="22"/>
        </w:rPr>
        <w:t xml:space="preserve">tourData</w:t>
      </w:r>
      <w:r>
        <w:rPr>
          <w:rFonts w:ascii="Arial" w:cs="Arial" w:eastAsia="Arial" w:hAnsi="Arial"/>
          <w:color w:val="2D3748"/>
          <w:sz w:val="22"/>
          <w:szCs w:val="22"/>
        </w:rPr>
        <w:t xml:space="preserve"> to </w:t>
      </w:r>
      <w:r>
        <w:rPr>
          <w:rFonts w:ascii="Arial" w:cs="Arial" w:eastAsia="Arial" w:hAnsi="Arial"/>
          <w:i/>
          <w:iCs/>
          <w:color w:val="4338CA"/>
          <w:sz w:val="22"/>
          <w:szCs w:val="22"/>
        </w:rPr>
        <w:t xml:space="preserve">tourDataByPersona[activePersona]</w:t>
      </w:r>
      <w:r>
        <w:rPr>
          <w:rFonts w:ascii="Arial" w:cs="Arial" w:eastAsia="Arial" w:hAnsi="Arial"/>
          <w:color w:val="2D3748"/>
          <w:sz w:val="22"/>
          <w:szCs w:val="22"/>
        </w:rPr>
        <w:t xml:space="preserve">. Rename button label from “Play 3.18 Podcast Walkthrough” to “Walkthrough”.</w:t>
      </w:r>
    </w:p>
    <w:p>
      <w:r>
        <w:br w:type="page"/>
      </w:r>
    </w:p>
    <w:p>
      <w:pPr>
        <w:pStyle w:val="Heading1"/>
      </w:pPr>
      <w:r>
        <w:rPr>
          <w:rFonts w:ascii="Arial" w:cs="Arial" w:eastAsia="Arial" w:hAnsi="Arial"/>
        </w:rPr>
        <w:t xml:space="preserve">Walkthrough: Project Teams</w:t>
      </w:r>
    </w:p>
    <w:p>
      <w:pPr>
        <w:spacing w:after="120" w:line="276"/>
      </w:pPr>
      <w:r>
        <w:rPr>
          <w:rFonts w:ascii="Arial" w:cs="Arial" w:eastAsia="Arial" w:hAnsi="Arial"/>
          <w:b/>
          <w:bCs/>
          <w:color w:val="64748B"/>
          <w:sz w:val="20"/>
          <w:szCs w:val="20"/>
        </w:rPr>
        <w:t xml:space="preserve">Persona ID: </w:t>
      </w:r>
      <w:r>
        <w:rPr>
          <w:rFonts w:ascii="Arial" w:cs="Arial" w:eastAsia="Arial" w:hAnsi="Arial"/>
          <w:i/>
          <w:iCs/>
          <w:color w:val="4338CA"/>
          <w:sz w:val="20"/>
          <w:szCs w:val="20"/>
        </w:rPr>
        <w:t xml:space="preserve">project-teams</w:t>
      </w:r>
    </w:p>
    <w:p>
      <w:pPr>
        <w:spacing w:after="120" w:line="276"/>
      </w:pPr>
      <w:r>
        <w:rPr>
          <w:rFonts w:ascii="Arial" w:cs="Arial" w:eastAsia="Arial" w:hAnsi="Arial"/>
          <w:i/>
          <w:iCs/>
          <w:color w:val="2D3748"/>
          <w:sz w:val="22"/>
          <w:szCs w:val="22"/>
        </w:rPr>
        <w:t xml:space="preserve">This walkthrough speaks to the project manager’s perspective — someone like Sarah from the podcast who needs equipment to show up on time, at the right cost, without creating administrative burden. The tone emphasizes early pricing confidence, the baseline-to-execution journey, and how providing clarity unlocks better outcomes. Cards highlighted: Quick Quotes, V0 Baseline, Ad-Hoc Intake, Cost of Delay, Clarity Scoring, Project Maturity, Preflight Validation, Execution Dashboard.</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Your Equipment Starts Here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Zone Spine (highlighted)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Welcome to your equipment command center. As a project team, you’re used to requesting equipment through emails, phone calls, and spreadsheets — then waiting to find out if what you need is even available. This platform replaces that blind spot with a single demand funnel organized into nine zones. You don’t need to manage these zones manually. The system observes your project’s progress from system-of-record data and shows you exactly where every equipment need stands. Your job: provide clarity on what you need. The earlier you do, the better the pricing and availability you unlock.</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Get Early Pricing Confidence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Quick Quotes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Before blueprints are finalized, you often need a rough sense of what equipment will cost. Quick Quotes lets you generate a directional equipment estimate by entering basic project parameters — type, duration, square footage, and market. The system runs ML models trained on historical O2S data to return a cost range with a confidence interval. Use this to inform pre-construction budgets, go/no-go decisions, and client conversations. You’re not committing to anything here; you’re getting early intelligence so you’re not blindsided later.</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4"/>
                <w:szCs w:val="24"/>
              </w:rPr>
              <w:t xml:space="preserve">Review Your Baseline &amp; Refine Intent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V0 Baseline Review, Ad-Hoc Request Intake, Clarity Scoring, Cost of Delay, Project Maturity</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When your project is awarded, the system auto-generates a V0 equipment baseline — a time-phased draft of what you’ll likely need, pulled from AI models, historical patterns, and your schedule. You don’t start from scratch. Review the baseline, confirm or adjust quantities and timing, and submit ad-hoc requests for anything the model missed. Clarity Scoring shows you how ‘decision-ready’ each line item is across quantity, specification, and schedule dimensions. Cost of Delay puts a dollar figure on every week you haven’t finalized specs — not to pressure you, but to give you ammunition when pushing your own clients and designers for answers. Project Maturity shows which line items are in which zones simultaneously, because your project isn’t a single dot on a timeline.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1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24"/>
                <w:szCs w:val="24"/>
              </w:rPr>
              <w:t xml:space="preserve">Validate Before It Leaves Your Hands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Preflight Validation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Before anything crosses the execution threshold, Preflight Validation automatically checks every line item against business rules: Are lead times realistic given supply chain constraints? Do the specifications match your structural documents? Are there budget conflicts? Items that pass get packaged into a conflict-free request pack and handed off to O2S Operations. Items that fail get flagged with specific resolution steps so you can fix them before they become expensive downstream problems. This is your quality gate — it catches the crane-rated-for-40-tons-but-your-panels-weigh-60-tons mistakes before they hit the field.</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16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tcPr>
          <w:p>
            <w:r>
              <w:rPr>
                <w:rFonts w:ascii="Arial" w:cs="Arial" w:eastAsia="Arial" w:hAnsi="Arial"/>
                <w:b/>
                <w:bCs/>
                <w:color w:val="FFFFFF"/>
                <w:sz w:val="24"/>
                <w:szCs w:val="24"/>
              </w:rPr>
              <w:t xml:space="preserve">Track What’s Happening on Your Site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Execution Dashboard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Once equipment hits the dirt, the Execution Dashboard gives you real-time visibility into mobilization status, utilization rates, and exception flags across your active deployments. You’ll see when a generator has been sitting idle for two weeks or when a delivery SLA has been breached — without waiting for a Friday status email. This is your window into the operational reality of your project’s equipment, giving you the information you need to make decisions about extensions, returns, and change orders before costs compound.</w:t>
            </w:r>
          </w:p>
        </w:tc>
      </w:tr>
    </w:tbl>
    <w:p>
      <w:pPr>
        <w:spacing w:after="200" w:before="200"/>
      </w:pPr>
    </w:p>
    <w:p>
      <w:r>
        <w:br w:type="page"/>
      </w:r>
    </w:p>
    <w:p>
      <w:pPr>
        <w:pStyle w:val="Heading1"/>
      </w:pPr>
      <w:r>
        <w:rPr>
          <w:rFonts w:ascii="Arial" w:cs="Arial" w:eastAsia="Arial" w:hAnsi="Arial"/>
        </w:rPr>
        <w:t xml:space="preserve">Walkthrough: O2S Operations</w:t>
      </w:r>
    </w:p>
    <w:p>
      <w:pPr>
        <w:spacing w:after="120" w:line="276"/>
      </w:pPr>
      <w:r>
        <w:rPr>
          <w:rFonts w:ascii="Arial" w:cs="Arial" w:eastAsia="Arial" w:hAnsi="Arial"/>
          <w:b/>
          <w:bCs/>
          <w:color w:val="64748B"/>
          <w:sz w:val="20"/>
          <w:szCs w:val="20"/>
        </w:rPr>
        <w:t xml:space="preserve">Persona ID: </w:t>
      </w:r>
      <w:r>
        <w:rPr>
          <w:rFonts w:ascii="Arial" w:cs="Arial" w:eastAsia="Arial" w:hAnsi="Arial"/>
          <w:i/>
          <w:iCs/>
          <w:color w:val="4338CA"/>
          <w:sz w:val="20"/>
          <w:szCs w:val="20"/>
        </w:rPr>
        <w:t xml:space="preserve">o2s-ops</w:t>
      </w:r>
    </w:p>
    <w:p>
      <w:pPr>
        <w:spacing w:after="120" w:line="276"/>
      </w:pPr>
      <w:r>
        <w:rPr>
          <w:rFonts w:ascii="Arial" w:cs="Arial" w:eastAsia="Arial" w:hAnsi="Arial"/>
          <w:i/>
          <w:iCs/>
          <w:color w:val="2D3748"/>
          <w:sz w:val="22"/>
          <w:szCs w:val="22"/>
        </w:rPr>
        <w:t xml:space="preserve">This walkthrough speaks to the operations professional who must fulfill every request regardless of clarity level. The tone emphasizes forward visibility, the duality principle (happy path vs. constrained path), fleet optimization, vendor intelligence, and the learning flywheel that makes each cycle smarter. Cards highlighted: Asset Demand Forecast, Fit Score, V0 Baseline, Cost of Delay, Clarity Scoring, Project Maturity, Optimizer, Strategic Sourcing, Formal Request, Regression Events, Execution Dashboard, Vendor Scorecard, Learning Flywheel.</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See Demand Before It Becomes a Fire Drill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Zone Spine (highlighted)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Welcome to your operations command center. Today, equipment requests arrive as urgent emails with no context about where they came from or how confident the project team is. This platform gives you forward visibility into the entire demand pipeline — organized into nine zones from earliest forecast through execution and learning. Zone state is observed from system-of-record data, so the progression you see is trustworthy and ungameable. The earlier you see demand forming, the more time you have to position fleet, negotiate vendor terms, and plan fulfillment from strength rather than scrambling at the last minute.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Forecast Demand &amp; Identify Opportunities Early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Asset Demand Forecast, Fit Score &amp; Opportunity Correlation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Asset Demand Forecasting aggregates probability-weighted demand by cat class across the entire portfolio, spanning Zones 1 through 7. You can see which asset categories are trending toward constraint and which have surplus capacity — months before requests arrive. The Fit Score evaluates FP&amp;A committed forecast entries against O2S equipment capabilities, surfacing which projects are high-value engagement opportunities. Use this to approach project teams proactively: ‘We see your data center will need tower cranes in Q3. Let’s plan now so we can fulfill from owned fleet instead of paying spot-market premiums.’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4"/>
                <w:szCs w:val="24"/>
              </w:rPr>
              <w:t xml:space="preserve">Monitor Clarity &amp; Prepare Both Paths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V0 Baseline Review, Cost of Delay, Clarity Scoring, Project Maturity</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As projects move from forecast to intent, your concern shifts to fulfillment readiness. The V0 Baseline shows the AI-generated equipment plan — your early signal about what’s coming. Clarity Scoring tells you exactly how decision-ready each line item is. When clarity is low, the duality principle kicks in: you’ll see the happy path (project confirms specs early, you fulfill from MSA rates and owned fleet) and the constrained path (specs are late, you begin pre-positioning with baseline assumptions at higher cost). Cost of Delay quantifies the premium so project teams understand the financial impact of their timeline. Project Maturity shows the full zone distribution so you can identify which items need your attention now versus which are still forming.</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1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24"/>
                <w:szCs w:val="24"/>
              </w:rPr>
              <w:t xml:space="preserve">Optimize Fulfillment &amp; Execute Requests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Owned vs Re-Rent Optimizer, Strategic Sourcing, Formal Request &amp; Handoff, Regression Events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This is where your operational expertise meets data-driven decision support. The Owned vs. Re-Rent Optimizer evaluates enterprise-wide fleet capacity and recommends whether each request should be fulfilled from owned assets (lower cost, higher utilization) or external re-rent (faster availability, no fleet commitment). Strategic Sourcing pushes validated demand to procurement with full context. Formal Request packages everything with lineage traceability and SLA-tracked routing. And when conditions change — a project delays, specs get revised — the Regression Event engine detects backward movement automatically, pauses affected SLAs, and recalculates downstream impact so you’re never blindsided by a silent schedule slip.</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16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tcPr>
          <w:p>
            <w:r>
              <w:rPr>
                <w:rFonts w:ascii="Arial" w:cs="Arial" w:eastAsia="Arial" w:hAnsi="Arial"/>
                <w:b/>
                <w:bCs/>
                <w:color w:val="FFFFFF"/>
                <w:sz w:val="24"/>
                <w:szCs w:val="24"/>
              </w:rPr>
              <w:t xml:space="preserve">Execute, Score Vendors &amp; Feed the Flywheel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Execution Dashboard, Vendor Performance Scorecard, Learning Flywheel</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Equipment hits the field. The Execution Dashboard tracks utilization, mobilization, and exceptions in real time. Triggers fire automatically when anomalies appear — underutilized assets get flagged for redeployment, vendor SLA breaches escalate to the right person. Every vendor interaction feeds the Vendor Scorecard: on-time delivery, damage rates, pricing accuracy. This is institutional memory that makes your next sourcing decision smarter. And the Learning Flywheel closes the loop — every actualized cost, duration, and outcome is compared against the V0 baseline. Variances are analyzed and written back into estimation templates, sourcing logic, and forecasting models. The next project like this one starts with a better baseline because of the work you did on this one.</w:t>
            </w:r>
          </w:p>
        </w:tc>
      </w:tr>
    </w:tbl>
    <w:p>
      <w:pPr>
        <w:spacing w:after="200" w:before="200"/>
      </w:pPr>
    </w:p>
    <w:p>
      <w:r>
        <w:br w:type="page"/>
      </w:r>
    </w:p>
    <w:p>
      <w:pPr>
        <w:pStyle w:val="Heading1"/>
      </w:pPr>
      <w:r>
        <w:rPr>
          <w:rFonts w:ascii="Arial" w:cs="Arial" w:eastAsia="Arial" w:hAnsi="Arial"/>
        </w:rPr>
        <w:t xml:space="preserve">Walkthrough: Leadership</w:t>
      </w:r>
    </w:p>
    <w:p>
      <w:pPr>
        <w:spacing w:after="120" w:line="276"/>
      </w:pPr>
      <w:r>
        <w:rPr>
          <w:rFonts w:ascii="Arial" w:cs="Arial" w:eastAsia="Arial" w:hAnsi="Arial"/>
          <w:b/>
          <w:bCs/>
          <w:color w:val="64748B"/>
          <w:sz w:val="20"/>
          <w:szCs w:val="20"/>
        </w:rPr>
        <w:t xml:space="preserve">Persona ID: </w:t>
      </w:r>
      <w:r>
        <w:rPr>
          <w:rFonts w:ascii="Arial" w:cs="Arial" w:eastAsia="Arial" w:hAnsi="Arial"/>
          <w:i/>
          <w:iCs/>
          <w:color w:val="4338CA"/>
          <w:sz w:val="20"/>
          <w:szCs w:val="20"/>
        </w:rPr>
        <w:t xml:space="preserve">leadership</w:t>
      </w:r>
    </w:p>
    <w:p>
      <w:pPr>
        <w:spacing w:after="120" w:line="276"/>
      </w:pPr>
      <w:r>
        <w:rPr>
          <w:rFonts w:ascii="Arial" w:cs="Arial" w:eastAsia="Arial" w:hAnsi="Arial"/>
          <w:i/>
          <w:iCs/>
          <w:color w:val="2D3748"/>
          <w:sz w:val="22"/>
          <w:szCs w:val="22"/>
        </w:rPr>
        <w:t xml:space="preserve">This walkthrough speaks to the executive who cares about portfolio-level health, capital allocation, and organizational capability — not individual line items. The tone emphasizes ungameable data, strategic pipeline fit, cross-portfolio maturity trends, capital planning, and the structural improvement loop. Cards highlighted: Fit Score, Project Maturity, Asset Lifecycle, Regression Events, CapEx Plan, Learning Flywheel.</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One View of Enterprise Equipment Health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Zone Spine (highlighted)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Welcome to the strategic view. As a leader, your concern isn’t individual line items — it’s portfolio-level health, capital allocation, and organizational capability. The zone spine gives you a single, objective map of where demand sits across the entire enterprise. Because zone state is observed from system-of-record data (not manually reported), this view is ungameable. You’re not seeing what people claim is happening; you’re seeing what the data says is happening. Use this to identify systemic bottlenecks, measure operational velocity, and make investment decisions grounded in structural reality.</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Evaluate Portfolio Fit &amp; Engagement Strategy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Fit Score &amp; Opportunity Correlation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The Fit Score surfaces which FP&amp;A committed forecast entries align with O2S equipment capabilities. At the leadership level, this is your strategic pipeline view: Which project types consistently generate high-value equipment demand? Which regions are trending toward capacity constraints? Where should O2S be engaging proactively during pre-construction rather than reactively at mobilization? Use this to direct your teams’ attention toward the highest-impact opportunities before budgets lock.</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4"/>
                <w:szCs w:val="24"/>
              </w:rPr>
              <w:t xml:space="preserve">Track Maturity Across the Portfolio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Project Maturity &amp; Zone Distribution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Project Maturity gives you a cross-project view of zone distribution — how many line items sit in each zone across the active portfolio. This is your leading indicator dashboard. A healthy portfolio has demand flowing steadily through the zones. If you see accumulation in Zones 4–5 (baseline and intent), it means projects are stalling before reaching execution readiness. If Zone 8 is overloaded while Zones 1–3 are thin, you have a pipeline gap forming. This view lets you intervene at the structural level, not the firefighting level.</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1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24"/>
                <w:szCs w:val="24"/>
              </w:rPr>
              <w:t xml:space="preserve">Capital Strategy &amp; Risk Monitoring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Asset Lifecycle Engine, Regression Events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The Asset Lifecycle Engine translates forward demand and fleet condition data into keep/overhaul/redeploy/replace recommendations — the decisions that drive your multi-year capital strategy. When market conditions shift, you need to know how capital decisions made six months ago are holding up. Regression Events surface when projects move backward through zones — a signal that assumptions underpinning capital plans may need revisiting. Together, these give you a dynamic view of capital risk rather than a static annual budget that’s stale by Q2.</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16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tcPr>
          <w:p>
            <w:r>
              <w:rPr>
                <w:rFonts w:ascii="Arial" w:cs="Arial" w:eastAsia="Arial" w:hAnsi="Arial"/>
                <w:b/>
                <w:bCs/>
                <w:color w:val="FFFFFF"/>
                <w:sz w:val="24"/>
                <w:szCs w:val="24"/>
              </w:rPr>
              <w:t xml:space="preserve">CapEx Planning &amp; Organizational Learning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CapEx Plan, Learning Flywheel</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The CapEx Plan translates aggregated demand signals, fleet utilization trends, and lifecycle data into a prioritized, timing-specific capital expenditure plan. This is where operational reality meets financial strategy. The Learning Flywheel is your mechanism for structural improvement — every execution cycle generates variance data that refines forecasting models, estimation templates, and sourcing logic. Over time, this means your planning accuracy improves, your capital efficiency increases, and your teams spend less time on reactive firefighting. The Command Center doesn’t just track work; it compounds organizational learning.</w:t>
            </w:r>
          </w:p>
        </w:tc>
      </w:tr>
    </w:tbl>
    <w:p>
      <w:pPr>
        <w:spacing w:after="200" w:before="200"/>
      </w:pPr>
    </w:p>
    <w:p>
      <w:r>
        <w:br w:type="page"/>
      </w:r>
    </w:p>
    <w:p>
      <w:pPr>
        <w:pStyle w:val="Heading1"/>
      </w:pPr>
      <w:r>
        <w:rPr>
          <w:rFonts w:ascii="Arial" w:cs="Arial" w:eastAsia="Arial" w:hAnsi="Arial"/>
        </w:rPr>
        <w:t xml:space="preserve">Walkthrough: Finance &amp; FP&amp;A</w:t>
      </w:r>
    </w:p>
    <w:p>
      <w:pPr>
        <w:spacing w:after="120" w:line="276"/>
      </w:pPr>
      <w:r>
        <w:rPr>
          <w:rFonts w:ascii="Arial" w:cs="Arial" w:eastAsia="Arial" w:hAnsi="Arial"/>
          <w:b/>
          <w:bCs/>
          <w:color w:val="64748B"/>
          <w:sz w:val="20"/>
          <w:szCs w:val="20"/>
        </w:rPr>
        <w:t xml:space="preserve">Persona ID: </w:t>
      </w:r>
      <w:r>
        <w:rPr>
          <w:rFonts w:ascii="Arial" w:cs="Arial" w:eastAsia="Arial" w:hAnsi="Arial"/>
          <w:i/>
          <w:iCs/>
          <w:color w:val="4338CA"/>
          <w:sz w:val="20"/>
          <w:szCs w:val="20"/>
        </w:rPr>
        <w:t xml:space="preserve">finance</w:t>
      </w:r>
    </w:p>
    <w:p>
      <w:pPr>
        <w:spacing w:after="120" w:line="276"/>
      </w:pPr>
      <w:r>
        <w:rPr>
          <w:rFonts w:ascii="Arial" w:cs="Arial" w:eastAsia="Arial" w:hAnsi="Arial"/>
          <w:i/>
          <w:iCs/>
          <w:color w:val="2D3748"/>
          <w:sz w:val="22"/>
          <w:szCs w:val="22"/>
        </w:rPr>
        <w:t xml:space="preserve">This walkthrough speaks to the financial analyst or FP&amp;A lead who needs operational forecasts to align with enterprise financial plans. The tone emphasizes the FP&amp;A-to-Command-Center handshake, margin planning, clarity as a financial risk indicator, billing controls, and variance analysis. Cards highlighted: Margin Plan, FP&amp;A Sync, Clarity Scoring, Billing Anomaly Detection, Learning Flywheel.</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The Financial Handshake Between O2S and FP&amp;A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Zone Spine (highlighted)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Welcome to the financial control view. As Finance and FP&amp;A, your core concern is that operational forecasts align with enterprise financial plans — and that variances are visible before they become surprises. The Command Center’s zone model gives you structural traceability from the FP&amp;A committed forecast (your system of truth for Zones 1–3) through operational execution (Zones 4–8) and back through the learning flywheel (Zone 9). The FP&amp;A forecast system — currently Smartsheet, transitioning to Anaplan — is the authoritative upstream data source. The Command Center reads from it; it never overwrites it.</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16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rFonts w:ascii="Arial" w:cs="Arial" w:eastAsia="Arial" w:hAnsi="Arial"/>
                <w:b/>
                <w:bCs/>
                <w:color w:val="FFFFFF"/>
                <w:sz w:val="24"/>
                <w:szCs w:val="24"/>
              </w:rPr>
              <w:t xml:space="preserve">Margin Planning &amp; Revenue Sync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Margin Plan, FP&amp;A Sync</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The Margin Plan defines project-level O2S margin targets by pillar and product line, anchored to your AOP targets. This forces the handshake between what operations plans to spend and what finance expects to earn — before a single asset is committed. The FP&amp;A Sync provides a risk-adjusted, time-phased view of revenue and margin forecasts. It shows the gap between gross pipeline revenue and risk-adjusted yield, weighted by zone progression. Zone 1–3 entries carry heavier probability discounts than Zone 6–7 validated requests. Use this to stress-test whether operational plans will deliver on financial commitments — or if adjustments are needed before quarterly close.</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160"/>
            <w:tcBorders>
              <w:top w:val="single" w:color="CCCCCC" w:sz="1"/>
              <w:left w:val="single" w:color="CCCCCC" w:sz="1"/>
              <w:bottom w:val="single" w:color="CCCCCC" w:sz="1"/>
              <w:right w:val="single" w:color="CCCCCC" w:sz="1"/>
            </w:tcBorders>
            <w:shd w:fill="059669" w:val="clear"/>
            <w:tcMar>
              <w:top w:type="dxa" w:w="80"/>
              <w:left w:type="dxa" w:w="120"/>
              <w:bottom w:type="dxa" w:w="80"/>
              <w:right w:type="dxa" w:w="120"/>
            </w:tcMar>
          </w:tcPr>
          <w:p>
            <w:r>
              <w:rPr>
                <w:rFonts w:ascii="Arial" w:cs="Arial" w:eastAsia="Arial" w:hAnsi="Arial"/>
                <w:b/>
                <w:bCs/>
                <w:color w:val="FFFFFF"/>
                <w:sz w:val="24"/>
                <w:szCs w:val="24"/>
              </w:rPr>
              <w:t xml:space="preserve">Measure Clarity Risk on Financial Outcomes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Clarity &amp; Confidence Scoring</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Clarity Scoring quantifies how decision-ready each equipment need is. From a finance perspective, low clarity is a cost risk: every item below 50% clarity is likely to be fulfilled through constrained-path sourcing at premium rates. This view lets you model the financial exposure created by specification gaps. If 30% of your portfolio’s line items are below the clarity threshold, you can quantify the projected cost premium and escalate to leadership with data, not anecdotes. Clarity isn’t just an operational metric — it’s a leading financial indicator.</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16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tcPr>
          <w:p>
            <w:r>
              <w:rPr>
                <w:rFonts w:ascii="Arial" w:cs="Arial" w:eastAsia="Arial" w:hAnsi="Arial"/>
                <w:b/>
                <w:bCs/>
                <w:color w:val="FFFFFF"/>
                <w:sz w:val="24"/>
                <w:szCs w:val="24"/>
              </w:rPr>
              <w:t xml:space="preserve">Catch Billing Errors Before They Post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Billing Anomaly Detection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Billing Anomaly Detection flags invoice discrepancies before they impact the bottom line. The system compares vendor invoices against contract terms, historical pricing patterns, and project-level commitments to surface rate deviations, duplicate charges, and quantity mismatches. In a high-volume equipment operation, even small per-unit billing errors compound into significant margin erosion over a portfolio. This is your automated first line of defense against revenue leakage — catching errors that would otherwise be buried in monthly reconciliation reports.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160"/>
            <w:tcBorders>
              <w:top w:val="single" w:color="CCCCCC" w:sz="1"/>
              <w:left w:val="single" w:color="CCCCCC" w:sz="1"/>
              <w:bottom w:val="single" w:color="CCCCCC" w:sz="1"/>
              <w:right w:val="single" w:color="CCCCCC" w:sz="1"/>
            </w:tcBorders>
            <w:shd w:fill="BE123C" w:val="clear"/>
            <w:tcMar>
              <w:top w:type="dxa" w:w="80"/>
              <w:left w:type="dxa" w:w="120"/>
              <w:bottom w:type="dxa" w:w="80"/>
              <w:right w:type="dxa" w:w="120"/>
            </w:tcMar>
          </w:tcPr>
          <w:p>
            <w:r>
              <w:rPr>
                <w:rFonts w:ascii="Arial" w:cs="Arial" w:eastAsia="Arial" w:hAnsi="Arial"/>
                <w:b/>
                <w:bCs/>
                <w:color w:val="FFFFFF"/>
                <w:sz w:val="24"/>
                <w:szCs w:val="24"/>
              </w:rPr>
              <w:t xml:space="preserve">Close the Loop: Actuals vs. Plan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4748B"/>
                <w:sz w:val="18"/>
                <w:szCs w:val="18"/>
              </w:rPr>
              <w:t xml:space="preserve">Cards: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4748B"/>
                <w:sz w:val="20"/>
                <w:szCs w:val="20"/>
              </w:rPr>
              <w:t xml:space="preserve">Learning Flywheel</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line="276"/>
            </w:pPr>
            <w:r>
              <w:rPr>
                <w:rFonts w:ascii="Arial" w:cs="Arial" w:eastAsia="Arial" w:hAnsi="Arial"/>
                <w:color w:val="2D3748"/>
                <w:sz w:val="22"/>
                <w:szCs w:val="22"/>
              </w:rPr>
              <w:t xml:space="preserve">The Learning Flywheel compares actualized costs, durations, and vendor outcomes against the original V0 baseline and financial projections. For Finance, this is your variance analysis engine. It answers: Did we earn the margin we planned? Where did assumptions break down? Were cost overruns driven by late clarity, vendor performance, or market conditions? The writeback mechanism feeds calibrated actuals back into upstream templates, which means your next cycle’s forecasts start from a more accurate baseline. Over time, the gap between plan and actuals narrows structurally — not because people try harder, but because the models improve with every cycle.</w:t>
            </w:r>
          </w:p>
        </w:tc>
      </w:tr>
    </w:tbl>
    <w:p>
      <w:pPr>
        <w:spacing w:after="200" w:before="200"/>
      </w:pPr>
    </w:p>
    <w:p>
      <w:r>
        <w:br w:type="page"/>
      </w:r>
    </w:p>
    <w:p>
      <w:pPr>
        <w:pStyle w:val="Heading1"/>
      </w:pPr>
      <w:r>
        <w:rPr>
          <w:rFonts w:ascii="Arial" w:cs="Arial" w:eastAsia="Arial" w:hAnsi="Arial"/>
        </w:rPr>
        <w:t xml:space="preserve">Appendix: targetNodes Cross-Reference</w:t>
      </w:r>
    </w:p>
    <w:p>
      <w:pPr>
        <w:spacing w:after="120" w:line="276"/>
      </w:pPr>
      <w:r>
        <w:rPr>
          <w:rFonts w:ascii="Arial" w:cs="Arial" w:eastAsia="Arial" w:hAnsi="Arial"/>
          <w:color w:val="2D3748"/>
          <w:sz w:val="22"/>
          <w:szCs w:val="22"/>
        </w:rPr>
        <w:t xml:space="preserve">This table maps each persona’s walkthrough steps to the exact card IDs that should be highlighted (targetNodes array) and whether the zone spine should glow (highlightSpine). Use this directly when writing the code.</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40"/>
        <w:gridCol w:w="2140"/>
        <w:gridCol w:w="2140"/>
        <w:gridCol w:w="214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Project Teams</w:t>
            </w:r>
          </w:p>
        </w:tc>
        <w:tc>
          <w:tcPr>
            <w:tcW w:type="dxa" w:w="2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O2S Operations</w:t>
            </w:r>
          </w:p>
        </w:tc>
        <w:tc>
          <w:tcPr>
            <w:tcW w:type="dxa" w:w="2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Leadership</w:t>
            </w:r>
          </w:p>
        </w:tc>
        <w:tc>
          <w:tcPr>
            <w:tcW w:type="dxa" w:w="2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Finance &amp; FP&amp;A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1</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 + highlightSpine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 + highlightSpine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 + highlightSpine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 + highlightSpine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2</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['quotes']</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['forecast', 'fitscore']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['fitscore']</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['margin', 'fpa']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3</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['prepop', 'adhoc', 'costofdelay', 'clarityscoring', 'projectmaturity']</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['prepop-ops', 'costofdelay', 'clarityscoring', 'projectmaturity']</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['projectmaturity']</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['clarityscoring']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4</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['preflight']</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['optimize', 'source', 'formalrequest', 'regression']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['lifecycle', 'regression']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['anomaly']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5</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['execution']</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['execution', 'vendorscorecard', 'flywheel']</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['capex', 'flywheel']</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['flywheel']</w:t>
            </w:r>
          </w:p>
        </w:tc>
      </w:tr>
    </w:tbl>
    <w:p>
      <w:pPr>
        <w:spacing w:after="200" w:before="200"/>
      </w:pPr>
    </w:p>
    <w:p>
      <w:pPr>
        <w:pStyle w:val="Heading1"/>
      </w:pPr>
      <w:r>
        <w:rPr>
          <w:rFonts w:ascii="Arial" w:cs="Arial" w:eastAsia="Arial" w:hAnsi="Arial"/>
        </w:rPr>
        <w:t xml:space="preserve">Appendix: Adds, Deletes &amp; Text Changes</w:t>
      </w:r>
    </w:p>
    <w:p>
      <w:pPr>
        <w:spacing w:after="120" w:line="276"/>
      </w:pPr>
      <w:r>
        <w:rPr>
          <w:rFonts w:ascii="Arial" w:cs="Arial" w:eastAsia="Arial" w:hAnsi="Arial"/>
          <w:color w:val="2D3748"/>
          <w:sz w:val="22"/>
          <w:szCs w:val="22"/>
        </w:rPr>
        <w:t xml:space="preserve">Summary of all code-level changes required to implement this plan.</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5060"/>
      </w:tblGrid>
      <w:t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100"/>
            <w:tcBorders>
              <w:top w:val="single" w:color="CCCCCC" w:sz="1"/>
              <w:left w:val="single" w:color="CCCCCC" w:sz="1"/>
              <w:bottom w:val="single" w:color="CCCCCC" w:sz="1"/>
              <w:right w:val="single" w:color="CCCCCC" w:sz="1"/>
            </w:tcBorders>
            <w:shd w:fill="FFE4E6" w:val="clear"/>
            <w:tcMar>
              <w:top w:type="dxa" w:w="80"/>
              <w:left w:type="dxa" w:w="120"/>
              <w:bottom w:type="dxa" w:w="80"/>
              <w:right w:type="dxa" w:w="120"/>
            </w:tcMar>
          </w:tcPr>
          <w:p>
            <w:r>
              <w:rPr>
                <w:rFonts w:ascii="Arial" w:cs="Arial" w:eastAsia="Arial" w:hAnsi="Arial"/>
                <w:b/>
                <w:bCs/>
                <w:color w:val="2D3748"/>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tourData array (lines 1826–1834)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Remove entire 7-step generic tour array</w:t>
            </w:r>
          </w:p>
        </w:tc>
      </w:tr>
      <w:tr>
        <w:tc>
          <w:tcPr>
            <w:tcW w:type="dxa" w:w="11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2D3748"/>
                <w:sz w:val="18"/>
                <w:szCs w:val="18"/>
              </w:rPr>
              <w:t xml:space="preserve">ADD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tourDataByPersona object (same location)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Insert new object with 4 persona keys, each containing 5 steps as defined in this document</w:t>
            </w:r>
          </w:p>
        </w:tc>
      </w:tr>
      <w:t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D3748"/>
                <w:sz w:val="18"/>
                <w:szCs w:val="18"/>
              </w:rPr>
              <w:t xml:space="preserve">RENAME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Button label (line 1971)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Change “Play 3.18 Podcast Walkthrough” → “Walkthrough”</w:t>
            </w:r>
          </w:p>
        </w:tc>
      </w:tr>
      <w:t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D3748"/>
                <w:sz w:val="18"/>
                <w:szCs w:val="18"/>
              </w:rPr>
              <w:t xml:space="preserve">EDIT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Tour overlay title reference (line 2292)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Change tourData[tourStep] → tourDataByPersona[activePersona][tourStep]</w:t>
            </w:r>
          </w:p>
        </w:tc>
      </w:tr>
      <w:t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D3748"/>
                <w:sz w:val="18"/>
                <w:szCs w:val="18"/>
              </w:rPr>
              <w:t xml:space="preserve">EDIT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Tour overlay transcript reference (line 2296)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Same reference update</w:t>
            </w:r>
          </w:p>
        </w:tc>
      </w:tr>
      <w:t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D3748"/>
                <w:sz w:val="18"/>
                <w:szCs w:val="18"/>
              </w:rPr>
              <w:t xml:space="preserve">EDIT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Tour overlay length references (lines 2291, 2299)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Same reference update (.length)</w:t>
            </w:r>
          </w:p>
        </w:tc>
      </w:tr>
      <w:t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D3748"/>
                <w:sz w:val="18"/>
                <w:szCs w:val="18"/>
              </w:rPr>
              <w:t xml:space="preserve">EDIT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isHighlighted function (line 1863)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Change tourData → tourDataByPersona[activePersona]</w:t>
            </w:r>
          </w:p>
        </w:tc>
      </w:tr>
      <w:t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2D3748"/>
                <w:sz w:val="18"/>
                <w:szCs w:val="18"/>
              </w:rPr>
              <w:t xml:space="preserve">EDIT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Spine highlight check (line 1976)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Change tourData → tourDataByPersona[activePersona]</w:t>
            </w:r>
          </w:p>
        </w:tc>
      </w:tr>
      <w:tr>
        <w:tc>
          <w:tcPr>
            <w:tcW w:type="dxa" w:w="11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2D3748"/>
                <w:sz w:val="18"/>
                <w:szCs w:val="18"/>
              </w:rPr>
              <w:t xml:space="preserve">ADD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Tour step 1 for all personas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18"/>
                <w:szCs w:val="18"/>
              </w:rPr>
              <w:t xml:space="preserve">Add highlightSpine: true to first step of each persona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O2S Command Center — Walkthrough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2026-04-09T12:47:47.933Z</dcterms:created>
  <dcterms:modified xsi:type="dcterms:W3CDTF">2026-04-09T12:47:47.934Z</dcterms:modified>
</cp:coreProperties>
</file>

<file path=docProps/custom.xml><?xml version="1.0" encoding="utf-8"?>
<Properties xmlns="http://schemas.openxmlformats.org/officeDocument/2006/custom-properties" xmlns:vt="http://schemas.openxmlformats.org/officeDocument/2006/docPropsVTypes"/>
</file>