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A117D" w:rsidRDefault="009A117D">
      <w:pPr>
        <w:pStyle w:val="Title"/>
        <w:spacing w:before="2160" w:after="0" w:line="480" w:lineRule="auto"/>
        <w:rPr>
          <w:rFonts w:ascii="Times New Roman" w:eastAsia="Times New Roman" w:hAnsi="Times New Roman" w:cs="Times New Roman"/>
          <w:b/>
          <w:sz w:val="24"/>
          <w:szCs w:val="24"/>
        </w:rPr>
      </w:pPr>
      <w:bookmarkStart w:id="0" w:name="_g2l4qtxvqaw6" w:colFirst="0" w:colLast="0"/>
      <w:bookmarkEnd w:id="0"/>
    </w:p>
    <w:p w14:paraId="00000002" w14:textId="77777777" w:rsidR="009A117D" w:rsidRDefault="009A117D"/>
    <w:p w14:paraId="00000003" w14:textId="77777777" w:rsidR="009A117D" w:rsidRDefault="009A117D"/>
    <w:p w14:paraId="00000004" w14:textId="77777777" w:rsidR="009A117D" w:rsidRDefault="009A117D"/>
    <w:p w14:paraId="00000005" w14:textId="77777777" w:rsidR="009A117D" w:rsidRDefault="009A117D"/>
    <w:p w14:paraId="00000006" w14:textId="77777777" w:rsidR="009A117D" w:rsidRDefault="009A117D"/>
    <w:p w14:paraId="00000007" w14:textId="77777777" w:rsidR="009A117D" w:rsidRDefault="009A117D"/>
    <w:p w14:paraId="00000008" w14:textId="77777777" w:rsidR="009A117D" w:rsidRDefault="009A117D"/>
    <w:p w14:paraId="00000009" w14:textId="77777777" w:rsidR="009A117D" w:rsidRDefault="009A117D">
      <w:pPr>
        <w:pStyle w:val="Subtitle"/>
        <w:spacing w:after="0" w:line="480" w:lineRule="auto"/>
        <w:jc w:val="center"/>
        <w:rPr>
          <w:rFonts w:ascii="Times New Roman" w:eastAsia="Times New Roman" w:hAnsi="Times New Roman" w:cs="Times New Roman"/>
          <w:color w:val="000000"/>
          <w:sz w:val="22"/>
          <w:szCs w:val="22"/>
        </w:rPr>
      </w:pPr>
      <w:bookmarkStart w:id="1" w:name="_30j0zll" w:colFirst="0" w:colLast="0"/>
      <w:bookmarkEnd w:id="1"/>
    </w:p>
    <w:p w14:paraId="0000000A" w14:textId="77777777" w:rsidR="009A117D" w:rsidRDefault="00000000">
      <w:pPr>
        <w:pStyle w:val="Subtitle"/>
        <w:spacing w:after="0" w:line="480" w:lineRule="auto"/>
        <w:jc w:val="center"/>
        <w:rPr>
          <w:rFonts w:ascii="Times New Roman" w:eastAsia="Times New Roman" w:hAnsi="Times New Roman" w:cs="Times New Roman"/>
          <w:color w:val="000000"/>
          <w:sz w:val="22"/>
          <w:szCs w:val="22"/>
        </w:rPr>
      </w:pPr>
      <w:bookmarkStart w:id="2" w:name="_1fob9te" w:colFirst="0" w:colLast="0"/>
      <w:bookmarkEnd w:id="2"/>
      <w:r>
        <w:rPr>
          <w:rFonts w:ascii="Times New Roman" w:eastAsia="Times New Roman" w:hAnsi="Times New Roman" w:cs="Times New Roman"/>
          <w:color w:val="000000"/>
          <w:sz w:val="22"/>
          <w:szCs w:val="22"/>
        </w:rPr>
        <w:t>Joya Wheatfall-Melvin</w:t>
      </w:r>
    </w:p>
    <w:p w14:paraId="0000000B" w14:textId="77777777" w:rsidR="009A117D" w:rsidRDefault="00000000">
      <w:pPr>
        <w:pStyle w:val="Subtitle"/>
        <w:spacing w:after="0" w:line="480" w:lineRule="auto"/>
        <w:jc w:val="center"/>
        <w:rPr>
          <w:rFonts w:ascii="Times New Roman" w:eastAsia="Times New Roman" w:hAnsi="Times New Roman" w:cs="Times New Roman"/>
          <w:i/>
          <w:color w:val="000000"/>
          <w:sz w:val="22"/>
          <w:szCs w:val="22"/>
        </w:rPr>
      </w:pPr>
      <w:bookmarkStart w:id="3" w:name="_2et92p0" w:colFirst="0" w:colLast="0"/>
      <w:bookmarkEnd w:id="3"/>
      <w:r>
        <w:rPr>
          <w:rFonts w:ascii="Times New Roman" w:eastAsia="Times New Roman" w:hAnsi="Times New Roman" w:cs="Times New Roman"/>
          <w:color w:val="000000"/>
          <w:sz w:val="22"/>
          <w:szCs w:val="22"/>
        </w:rPr>
        <w:t>PPOL 5202: Data Visualization for Data Science</w:t>
      </w:r>
    </w:p>
    <w:p w14:paraId="0000000C" w14:textId="77777777" w:rsidR="009A117D" w:rsidRDefault="00000000">
      <w:pPr>
        <w:pStyle w:val="Subtitle"/>
        <w:spacing w:after="0" w:line="480" w:lineRule="auto"/>
        <w:jc w:val="center"/>
        <w:rPr>
          <w:rFonts w:ascii="Times New Roman" w:eastAsia="Times New Roman" w:hAnsi="Times New Roman" w:cs="Times New Roman"/>
          <w:i/>
          <w:color w:val="000000"/>
          <w:sz w:val="22"/>
          <w:szCs w:val="22"/>
        </w:rPr>
      </w:pPr>
      <w:bookmarkStart w:id="4" w:name="_tyjcwt" w:colFirst="0" w:colLast="0"/>
      <w:bookmarkEnd w:id="4"/>
      <w:r>
        <w:rPr>
          <w:rFonts w:ascii="Times New Roman" w:eastAsia="Times New Roman" w:hAnsi="Times New Roman" w:cs="Times New Roman"/>
          <w:color w:val="000000"/>
          <w:sz w:val="22"/>
          <w:szCs w:val="22"/>
        </w:rPr>
        <w:t xml:space="preserve">Professor Alex </w:t>
      </w:r>
      <w:proofErr w:type="spellStart"/>
      <w:r>
        <w:rPr>
          <w:rFonts w:ascii="Times New Roman" w:eastAsia="Times New Roman" w:hAnsi="Times New Roman" w:cs="Times New Roman"/>
          <w:color w:val="000000"/>
          <w:sz w:val="22"/>
          <w:szCs w:val="22"/>
        </w:rPr>
        <w:t>Lundry</w:t>
      </w:r>
      <w:proofErr w:type="spellEnd"/>
      <w:r>
        <w:rPr>
          <w:rFonts w:ascii="Times New Roman" w:eastAsia="Times New Roman" w:hAnsi="Times New Roman" w:cs="Times New Roman"/>
          <w:color w:val="000000"/>
          <w:sz w:val="22"/>
          <w:szCs w:val="22"/>
        </w:rPr>
        <w:t xml:space="preserve"> </w:t>
      </w:r>
    </w:p>
    <w:p w14:paraId="0000000D" w14:textId="77777777" w:rsidR="009A117D" w:rsidRDefault="00000000">
      <w:pPr>
        <w:pStyle w:val="Subtitle"/>
        <w:spacing w:after="0" w:line="480" w:lineRule="auto"/>
        <w:jc w:val="center"/>
        <w:rPr>
          <w:rFonts w:ascii="Times New Roman" w:eastAsia="Times New Roman" w:hAnsi="Times New Roman" w:cs="Times New Roman"/>
          <w:color w:val="000000"/>
          <w:sz w:val="22"/>
          <w:szCs w:val="22"/>
        </w:rPr>
      </w:pPr>
      <w:bookmarkStart w:id="5" w:name="_3dy6vkm" w:colFirst="0" w:colLast="0"/>
      <w:bookmarkEnd w:id="5"/>
      <w:r>
        <w:rPr>
          <w:rFonts w:ascii="Times New Roman" w:eastAsia="Times New Roman" w:hAnsi="Times New Roman" w:cs="Times New Roman"/>
          <w:color w:val="000000"/>
          <w:sz w:val="22"/>
          <w:szCs w:val="22"/>
        </w:rPr>
        <w:t>September 22, 2025</w:t>
      </w:r>
    </w:p>
    <w:p w14:paraId="0000000E" w14:textId="77777777" w:rsidR="009A117D" w:rsidRDefault="009A117D"/>
    <w:p w14:paraId="0000000F" w14:textId="77777777" w:rsidR="009A117D" w:rsidRDefault="009A117D"/>
    <w:p w14:paraId="00000010" w14:textId="77777777" w:rsidR="009A117D" w:rsidRDefault="009A117D"/>
    <w:p w14:paraId="00000011" w14:textId="77777777" w:rsidR="009A117D" w:rsidRDefault="009A117D"/>
    <w:p w14:paraId="00000012" w14:textId="77777777" w:rsidR="009A117D" w:rsidRDefault="009A117D"/>
    <w:p w14:paraId="00000013" w14:textId="77777777" w:rsidR="009A117D" w:rsidRDefault="009A117D"/>
    <w:p w14:paraId="00000014" w14:textId="77777777" w:rsidR="009A117D" w:rsidRDefault="009A117D"/>
    <w:p w14:paraId="00000015" w14:textId="77777777" w:rsidR="009A117D" w:rsidRDefault="009A117D"/>
    <w:p w14:paraId="00000016" w14:textId="77777777" w:rsidR="009A117D" w:rsidRDefault="009A117D"/>
    <w:p w14:paraId="00000017" w14:textId="77777777" w:rsidR="009A117D" w:rsidRDefault="009A117D"/>
    <w:p w14:paraId="00000018" w14:textId="77777777" w:rsidR="009A117D" w:rsidRDefault="009A117D"/>
    <w:p w14:paraId="00000019" w14:textId="77777777" w:rsidR="009A117D" w:rsidRDefault="009A117D"/>
    <w:p w14:paraId="0000001A" w14:textId="77777777" w:rsidR="009A117D" w:rsidRDefault="009A117D"/>
    <w:p w14:paraId="0000001B" w14:textId="77777777" w:rsidR="009A117D" w:rsidRDefault="009A117D"/>
    <w:p w14:paraId="0000001C" w14:textId="77777777" w:rsidR="009A117D" w:rsidRDefault="009A117D"/>
    <w:p w14:paraId="0000001D" w14:textId="77777777" w:rsidR="009A117D" w:rsidRDefault="009A117D"/>
    <w:p w14:paraId="0000001E" w14:textId="77777777" w:rsidR="009A117D" w:rsidRDefault="009A117D"/>
    <w:p w14:paraId="0000001F" w14:textId="77777777" w:rsidR="009A117D" w:rsidRDefault="009A117D"/>
    <w:p w14:paraId="00000020" w14:textId="77777777" w:rsidR="009A117D" w:rsidRDefault="009A117D"/>
    <w:p w14:paraId="00000021" w14:textId="77777777" w:rsidR="009A117D" w:rsidRDefault="00000000">
      <w:pPr>
        <w:rPr>
          <w:rFonts w:ascii="Times New Roman" w:eastAsia="Times New Roman" w:hAnsi="Times New Roman" w:cs="Times New Roman"/>
        </w:rPr>
      </w:pPr>
      <w:r>
        <w:rPr>
          <w:rFonts w:ascii="Times New Roman" w:eastAsia="Times New Roman" w:hAnsi="Times New Roman" w:cs="Times New Roman"/>
          <w:b/>
        </w:rPr>
        <w:lastRenderedPageBreak/>
        <w:t xml:space="preserve">Project Proposal: </w:t>
      </w:r>
      <w:r>
        <w:rPr>
          <w:rFonts w:ascii="Times New Roman" w:eastAsia="Times New Roman" w:hAnsi="Times New Roman" w:cs="Times New Roman"/>
        </w:rPr>
        <w:t xml:space="preserve">Visualizing Black Wealth and Economic Inequality in the United States </w:t>
      </w:r>
    </w:p>
    <w:p w14:paraId="00000022" w14:textId="77777777" w:rsidR="009A117D" w:rsidRDefault="009A117D">
      <w:pPr>
        <w:rPr>
          <w:rFonts w:ascii="Times New Roman" w:eastAsia="Times New Roman" w:hAnsi="Times New Roman" w:cs="Times New Roman"/>
          <w:b/>
        </w:rPr>
      </w:pPr>
    </w:p>
    <w:p w14:paraId="00000023" w14:textId="77777777" w:rsidR="009A117D" w:rsidRDefault="00000000">
      <w:pPr>
        <w:rPr>
          <w:rFonts w:ascii="Times New Roman" w:eastAsia="Times New Roman" w:hAnsi="Times New Roman" w:cs="Times New Roman"/>
          <w:b/>
        </w:rPr>
      </w:pPr>
      <w:r>
        <w:rPr>
          <w:rFonts w:ascii="Times New Roman" w:eastAsia="Times New Roman" w:hAnsi="Times New Roman" w:cs="Times New Roman"/>
          <w:b/>
        </w:rPr>
        <w:t xml:space="preserve">Justification:  </w:t>
      </w:r>
    </w:p>
    <w:p w14:paraId="00000024"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Control of black labor has been embedded in the nation’s legal and economic systems since its founding. Most damaging is occupational segregation, in which Black workers are often overrepresented in lower-paying, lower-quality jobs while being underrepresented in high-paying, high-quality jobs. Many studies have attributed the racial wealth gap, in which GDP could have been $22.9 trillion higher between 1990 and 2019 if opportunities were more equally distributed by race and ethnicity. (Buckman et al., 2021) The U.S Department of Labor estimates that Black women have lost over $42.7 billion in wages compared to white men in 2023. (U.S. Department of Labor, 2024) </w:t>
      </w:r>
    </w:p>
    <w:p w14:paraId="00000025"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In addition to the dismantling of Diversity, Equity, and Inclusion (DEI) initiatives, dismantled worker protections, federal cuts of public-sector agencies, and specifically, the recent dismissal of 300,000 Black women from the U.S. labor force, this project will further explore and illuminate inequities within the current state of the Black economy. (U.S. Bureau of Labor Statistics, 2025)</w:t>
      </w:r>
      <w:r>
        <w:rPr>
          <w:rFonts w:ascii="Times New Roman" w:eastAsia="Times New Roman" w:hAnsi="Times New Roman" w:cs="Times New Roman"/>
          <w:b/>
        </w:rPr>
        <w:t xml:space="preserve"> </w:t>
      </w:r>
      <w:r>
        <w:rPr>
          <w:rFonts w:ascii="Times New Roman" w:eastAsia="Times New Roman" w:hAnsi="Times New Roman" w:cs="Times New Roman"/>
          <w:color w:val="273540"/>
        </w:rPr>
        <w:t xml:space="preserve">For this potential client, I intend to examine Black wealth and economic inequality in the United States through a variety of economic attainment metrics. </w:t>
      </w:r>
    </w:p>
    <w:p w14:paraId="00000026" w14:textId="77777777" w:rsidR="009A117D" w:rsidRDefault="00000000">
      <w:pPr>
        <w:spacing w:after="100"/>
        <w:rPr>
          <w:rFonts w:ascii="Times New Roman" w:eastAsia="Times New Roman" w:hAnsi="Times New Roman" w:cs="Times New Roman"/>
          <w:b/>
        </w:rPr>
      </w:pPr>
      <w:r>
        <w:rPr>
          <w:rFonts w:ascii="Times New Roman" w:eastAsia="Times New Roman" w:hAnsi="Times New Roman" w:cs="Times New Roman"/>
          <w:b/>
        </w:rPr>
        <w:t xml:space="preserve">Data Sources: </w:t>
      </w:r>
    </w:p>
    <w:p w14:paraId="00000027"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I will primarily use data from the </w:t>
      </w:r>
      <w:hyperlink r:id="rId8">
        <w:r>
          <w:rPr>
            <w:rFonts w:ascii="Times New Roman" w:eastAsia="Times New Roman" w:hAnsi="Times New Roman" w:cs="Times New Roman"/>
            <w:i/>
            <w:color w:val="1155CC"/>
            <w:u w:val="single"/>
          </w:rPr>
          <w:t>Black Wealth Data Center (BWDC)</w:t>
        </w:r>
      </w:hyperlink>
      <w:r>
        <w:rPr>
          <w:rFonts w:ascii="Times New Roman" w:eastAsia="Times New Roman" w:hAnsi="Times New Roman" w:cs="Times New Roman"/>
          <w:i/>
          <w:color w:val="273540"/>
        </w:rPr>
        <w:t xml:space="preserve"> </w:t>
      </w:r>
      <w:r>
        <w:rPr>
          <w:rFonts w:ascii="Times New Roman" w:eastAsia="Times New Roman" w:hAnsi="Times New Roman" w:cs="Times New Roman"/>
          <w:color w:val="273540"/>
        </w:rPr>
        <w:t>repository</w:t>
      </w:r>
      <w:r>
        <w:rPr>
          <w:rFonts w:ascii="Times New Roman" w:eastAsia="Times New Roman" w:hAnsi="Times New Roman" w:cs="Times New Roman"/>
          <w:i/>
          <w:color w:val="273540"/>
        </w:rPr>
        <w:t xml:space="preserve">, </w:t>
      </w:r>
      <w:r>
        <w:rPr>
          <w:rFonts w:ascii="Times New Roman" w:eastAsia="Times New Roman" w:hAnsi="Times New Roman" w:cs="Times New Roman"/>
          <w:color w:val="273540"/>
        </w:rPr>
        <w:t xml:space="preserve">launched by Bloomberg Philanthropies’ Greenwood Initiative. This database aggregates high-quality, publicly available data on wealth and socioeconomic measures with a focus on black economic attainment. The BWDC pulls together surveys from the U.S. Census, Bureau of Labor Statistics, Federal Financial Institutions Examination Council, and National Center for Education Statistics (NCES), creating a diverse set of indicators like homeownership, debt, education, and small business ownership, to fully capture a picture of the Black wealth experience instead of relying on a singular metric. Although the dataset is compiled and provided by the BWDC, specific datasets are drawn from other datasets that I intend to explore further: </w:t>
      </w:r>
    </w:p>
    <w:p w14:paraId="00000028" w14:textId="77777777" w:rsidR="009A117D" w:rsidRDefault="00000000">
      <w:pPr>
        <w:numPr>
          <w:ilvl w:val="0"/>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National Level Poverty Rates January 2020 - July 2025: </w:t>
      </w:r>
    </w:p>
    <w:p w14:paraId="00000029"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Source: </w:t>
      </w:r>
      <w:hyperlink r:id="rId9">
        <w:r>
          <w:rPr>
            <w:rFonts w:ascii="Times New Roman" w:eastAsia="Times New Roman" w:hAnsi="Times New Roman" w:cs="Times New Roman"/>
            <w:color w:val="1155CC"/>
            <w:u w:val="single"/>
          </w:rPr>
          <w:t xml:space="preserve">Center on Poverty and Social Policy, Columbia University </w:t>
        </w:r>
      </w:hyperlink>
    </w:p>
    <w:p w14:paraId="0000002A"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Observations: 335 observations, 3 variables </w:t>
      </w:r>
    </w:p>
    <w:p w14:paraId="0000002B"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Key Variables: </w:t>
      </w:r>
    </w:p>
    <w:p w14:paraId="0000002C"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Month </w:t>
      </w:r>
    </w:p>
    <w:p w14:paraId="0000002D"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Race (All, Black, White, Hispanic, Asian) </w:t>
      </w:r>
    </w:p>
    <w:p w14:paraId="0000002E" w14:textId="77777777" w:rsidR="009A117D" w:rsidRDefault="00000000">
      <w:pPr>
        <w:numPr>
          <w:ilvl w:val="2"/>
          <w:numId w:val="1"/>
        </w:numPr>
        <w:rPr>
          <w:rFonts w:ascii="Times New Roman" w:eastAsia="Times New Roman" w:hAnsi="Times New Roman" w:cs="Times New Roman"/>
          <w:b/>
          <w:color w:val="273540"/>
        </w:rPr>
      </w:pPr>
      <w:r>
        <w:rPr>
          <w:rFonts w:ascii="Times New Roman" w:eastAsia="Times New Roman" w:hAnsi="Times New Roman" w:cs="Times New Roman"/>
          <w:b/>
          <w:color w:val="273540"/>
        </w:rPr>
        <w:t xml:space="preserve">Poverty Percentage </w:t>
      </w:r>
    </w:p>
    <w:p w14:paraId="0000002F" w14:textId="77777777" w:rsidR="009A117D" w:rsidRDefault="00000000">
      <w:pPr>
        <w:numPr>
          <w:ilvl w:val="0"/>
          <w:numId w:val="1"/>
        </w:numPr>
        <w:rPr>
          <w:rFonts w:ascii="Times New Roman" w:eastAsia="Times New Roman" w:hAnsi="Times New Roman" w:cs="Times New Roman"/>
          <w:color w:val="273540"/>
        </w:rPr>
      </w:pPr>
      <w:r>
        <w:rPr>
          <w:rFonts w:ascii="Times New Roman" w:eastAsia="Times New Roman" w:hAnsi="Times New Roman" w:cs="Times New Roman"/>
        </w:rPr>
        <w:t xml:space="preserve">Percent of Households Holding Assets &amp; Debt Types by Race/Ethnicity: </w:t>
      </w:r>
    </w:p>
    <w:p w14:paraId="00000030"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Source: Black Wealth Data Center calculations from the </w:t>
      </w:r>
      <w:hyperlink r:id="rId10">
        <w:r>
          <w:rPr>
            <w:rFonts w:ascii="Times New Roman" w:eastAsia="Times New Roman" w:hAnsi="Times New Roman" w:cs="Times New Roman"/>
            <w:color w:val="1155CC"/>
            <w:u w:val="single"/>
          </w:rPr>
          <w:t>U.S. Federal Reserve, Survey of Consumer Finances (SCF) 2007 - 2022</w:t>
        </w:r>
      </w:hyperlink>
    </w:p>
    <w:p w14:paraId="00000031"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Observations: 360 observations, 8 variables </w:t>
      </w:r>
    </w:p>
    <w:p w14:paraId="00000032"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Key Variables:</w:t>
      </w:r>
    </w:p>
    <w:p w14:paraId="57FBEC57" w14:textId="77777777" w:rsidR="00ED1337" w:rsidRDefault="00ED1337">
      <w:pPr>
        <w:numPr>
          <w:ilvl w:val="2"/>
          <w:numId w:val="1"/>
        </w:numPr>
        <w:rPr>
          <w:rFonts w:ascii="Times New Roman" w:eastAsia="Times New Roman" w:hAnsi="Times New Roman" w:cs="Times New Roman"/>
          <w:b/>
          <w:color w:val="273540"/>
        </w:rPr>
      </w:pPr>
    </w:p>
    <w:p w14:paraId="717647A0" w14:textId="77777777" w:rsidR="00ED1337" w:rsidRDefault="00ED1337">
      <w:pPr>
        <w:numPr>
          <w:ilvl w:val="2"/>
          <w:numId w:val="1"/>
        </w:numPr>
        <w:rPr>
          <w:rFonts w:ascii="Times New Roman" w:eastAsia="Times New Roman" w:hAnsi="Times New Roman" w:cs="Times New Roman"/>
          <w:b/>
          <w:color w:val="273540"/>
        </w:rPr>
      </w:pPr>
    </w:p>
    <w:p w14:paraId="55A23CA0" w14:textId="77777777" w:rsidR="00ED1337" w:rsidRDefault="00ED1337">
      <w:pPr>
        <w:numPr>
          <w:ilvl w:val="2"/>
          <w:numId w:val="1"/>
        </w:numPr>
        <w:rPr>
          <w:rFonts w:ascii="Times New Roman" w:eastAsia="Times New Roman" w:hAnsi="Times New Roman" w:cs="Times New Roman"/>
          <w:b/>
          <w:color w:val="273540"/>
        </w:rPr>
      </w:pPr>
    </w:p>
    <w:p w14:paraId="355AFADC" w14:textId="77777777" w:rsidR="00ED1337" w:rsidRDefault="00ED1337">
      <w:pPr>
        <w:numPr>
          <w:ilvl w:val="2"/>
          <w:numId w:val="1"/>
        </w:numPr>
        <w:rPr>
          <w:rFonts w:ascii="Times New Roman" w:eastAsia="Times New Roman" w:hAnsi="Times New Roman" w:cs="Times New Roman"/>
          <w:b/>
          <w:color w:val="273540"/>
        </w:rPr>
      </w:pPr>
    </w:p>
    <w:p w14:paraId="5D005F92" w14:textId="77777777" w:rsidR="00ED1337" w:rsidRDefault="00ED1337">
      <w:pPr>
        <w:numPr>
          <w:ilvl w:val="2"/>
          <w:numId w:val="1"/>
        </w:numPr>
        <w:rPr>
          <w:rFonts w:ascii="Times New Roman" w:eastAsia="Times New Roman" w:hAnsi="Times New Roman" w:cs="Times New Roman"/>
          <w:b/>
          <w:color w:val="273540"/>
        </w:rPr>
      </w:pPr>
    </w:p>
    <w:p w14:paraId="4D035952" w14:textId="77777777" w:rsidR="00ED1337" w:rsidRDefault="00ED1337">
      <w:pPr>
        <w:numPr>
          <w:ilvl w:val="2"/>
          <w:numId w:val="1"/>
        </w:numPr>
        <w:rPr>
          <w:rFonts w:ascii="Times New Roman" w:eastAsia="Times New Roman" w:hAnsi="Times New Roman" w:cs="Times New Roman"/>
          <w:b/>
          <w:color w:val="273540"/>
        </w:rPr>
      </w:pPr>
    </w:p>
    <w:p w14:paraId="00000033" w14:textId="725F4C69" w:rsidR="009A117D" w:rsidRDefault="00000000">
      <w:pPr>
        <w:numPr>
          <w:ilvl w:val="2"/>
          <w:numId w:val="1"/>
        </w:numPr>
        <w:rPr>
          <w:rFonts w:ascii="Times New Roman" w:eastAsia="Times New Roman" w:hAnsi="Times New Roman" w:cs="Times New Roman"/>
          <w:b/>
          <w:color w:val="273540"/>
        </w:rPr>
      </w:pPr>
      <w:r>
        <w:rPr>
          <w:rFonts w:ascii="Times New Roman" w:eastAsia="Times New Roman" w:hAnsi="Times New Roman" w:cs="Times New Roman"/>
          <w:b/>
          <w:color w:val="273540"/>
        </w:rPr>
        <w:t xml:space="preserve">Assets </w:t>
      </w:r>
    </w:p>
    <w:p w14:paraId="00000034"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Total Assets </w:t>
      </w:r>
    </w:p>
    <w:p w14:paraId="00000035"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Cash Value of Whole Life Insurance </w:t>
      </w:r>
    </w:p>
    <w:p w14:paraId="00000036"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Directly Held Stocks </w:t>
      </w:r>
    </w:p>
    <w:p w14:paraId="00000037"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Pooled Investment Fund Assets </w:t>
      </w:r>
    </w:p>
    <w:p w14:paraId="00000038"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Quasi-Liquid Retirement Accounts </w:t>
      </w:r>
    </w:p>
    <w:p w14:paraId="00000039"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Total Value of Household Stock Holdings </w:t>
      </w:r>
    </w:p>
    <w:p w14:paraId="0000003A" w14:textId="77777777" w:rsidR="009A117D" w:rsidRDefault="00000000">
      <w:pPr>
        <w:numPr>
          <w:ilvl w:val="2"/>
          <w:numId w:val="1"/>
        </w:numPr>
        <w:rPr>
          <w:rFonts w:ascii="Times New Roman" w:eastAsia="Times New Roman" w:hAnsi="Times New Roman" w:cs="Times New Roman"/>
          <w:b/>
          <w:color w:val="273540"/>
        </w:rPr>
      </w:pPr>
      <w:r>
        <w:rPr>
          <w:rFonts w:ascii="Times New Roman" w:eastAsia="Times New Roman" w:hAnsi="Times New Roman" w:cs="Times New Roman"/>
          <w:b/>
          <w:color w:val="273540"/>
        </w:rPr>
        <w:t>Debt</w:t>
      </w:r>
    </w:p>
    <w:p w14:paraId="0000003B"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Total Debt </w:t>
      </w:r>
    </w:p>
    <w:p w14:paraId="0000003C"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Credit Card Balances after Last Payment </w:t>
      </w:r>
    </w:p>
    <w:p w14:paraId="0000003D"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Debt Security by Primary Residence </w:t>
      </w:r>
    </w:p>
    <w:p w14:paraId="0000003E"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Education Loans </w:t>
      </w:r>
    </w:p>
    <w:p w14:paraId="0000003F"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Installment Loans </w:t>
      </w:r>
    </w:p>
    <w:p w14:paraId="00000040"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Other Debts </w:t>
      </w:r>
    </w:p>
    <w:p w14:paraId="00000041"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Percentage Holding </w:t>
      </w:r>
    </w:p>
    <w:p w14:paraId="00000042"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25th Percentile </w:t>
      </w:r>
    </w:p>
    <w:p w14:paraId="00000043"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75th Percentile </w:t>
      </w:r>
    </w:p>
    <w:p w14:paraId="00000044"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99th Percentile </w:t>
      </w:r>
    </w:p>
    <w:p w14:paraId="00000045"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Race (All, Black, Hispanic, White, Other) </w:t>
      </w:r>
    </w:p>
    <w:p w14:paraId="00000046"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Year </w:t>
      </w:r>
    </w:p>
    <w:p w14:paraId="00000047" w14:textId="77777777" w:rsidR="009A117D" w:rsidRDefault="00000000">
      <w:pPr>
        <w:numPr>
          <w:ilvl w:val="0"/>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Unemployed Persons per 100 by Reason for Unemployment by Race/Ethnicity, Statewide 2024 </w:t>
      </w:r>
    </w:p>
    <w:p w14:paraId="00000048"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Source: Black Wealth Data Center calculations from the </w:t>
      </w:r>
      <w:hyperlink r:id="rId11">
        <w:r>
          <w:rPr>
            <w:rFonts w:ascii="Times New Roman" w:eastAsia="Times New Roman" w:hAnsi="Times New Roman" w:cs="Times New Roman"/>
            <w:color w:val="1155CC"/>
            <w:u w:val="single"/>
          </w:rPr>
          <w:t>U.S. Federal Reserve, Survey of Consumer Finances (SCF) 2007 - 2022</w:t>
        </w:r>
      </w:hyperlink>
    </w:p>
    <w:p w14:paraId="00000049"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Observations: 1,530 observations, 10 variables </w:t>
      </w:r>
    </w:p>
    <w:p w14:paraId="0000004A"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Key Variables:</w:t>
      </w:r>
    </w:p>
    <w:p w14:paraId="0000004B"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State Name </w:t>
      </w:r>
    </w:p>
    <w:p w14:paraId="0000004C"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Percentage Black Alone </w:t>
      </w:r>
    </w:p>
    <w:p w14:paraId="0000004D"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Population Group (Total, Black, Hispanic, Asian, White) </w:t>
      </w:r>
    </w:p>
    <w:p w14:paraId="0000004E" w14:textId="77777777" w:rsidR="009A117D" w:rsidRDefault="00000000">
      <w:pPr>
        <w:numPr>
          <w:ilvl w:val="2"/>
          <w:numId w:val="1"/>
        </w:numPr>
        <w:rPr>
          <w:rFonts w:ascii="Times New Roman" w:eastAsia="Times New Roman" w:hAnsi="Times New Roman" w:cs="Times New Roman"/>
          <w:b/>
          <w:color w:val="273540"/>
        </w:rPr>
      </w:pPr>
      <w:r>
        <w:rPr>
          <w:rFonts w:ascii="Times New Roman" w:eastAsia="Times New Roman" w:hAnsi="Times New Roman" w:cs="Times New Roman"/>
          <w:b/>
          <w:color w:val="273540"/>
        </w:rPr>
        <w:t xml:space="preserve">Reason for Employment </w:t>
      </w:r>
    </w:p>
    <w:p w14:paraId="0000004F"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Total unemployment </w:t>
      </w:r>
    </w:p>
    <w:p w14:paraId="00000050"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Job leavers </w:t>
      </w:r>
    </w:p>
    <w:p w14:paraId="00000051"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Job Losers and people who completed temporary jobs </w:t>
      </w:r>
    </w:p>
    <w:p w14:paraId="00000052"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New Entrants </w:t>
      </w:r>
    </w:p>
    <w:p w14:paraId="00000053" w14:textId="77777777" w:rsidR="009A117D" w:rsidRDefault="00000000">
      <w:pPr>
        <w:numPr>
          <w:ilvl w:val="3"/>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Reentrants </w:t>
      </w:r>
    </w:p>
    <w:p w14:paraId="00000054" w14:textId="77777777" w:rsidR="009A117D" w:rsidRDefault="00000000">
      <w:pPr>
        <w:numPr>
          <w:ilvl w:val="0"/>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Percent of </w:t>
      </w:r>
      <w:proofErr w:type="gramStart"/>
      <w:r>
        <w:rPr>
          <w:rFonts w:ascii="Times New Roman" w:eastAsia="Times New Roman" w:hAnsi="Times New Roman" w:cs="Times New Roman"/>
          <w:color w:val="273540"/>
        </w:rPr>
        <w:t>Bachelor’s Degree</w:t>
      </w:r>
      <w:proofErr w:type="gramEnd"/>
      <w:r>
        <w:rPr>
          <w:rFonts w:ascii="Times New Roman" w:eastAsia="Times New Roman" w:hAnsi="Times New Roman" w:cs="Times New Roman"/>
          <w:color w:val="273540"/>
        </w:rPr>
        <w:t xml:space="preserve"> or Higher Attainment, by Race/ Ethnicity and Sex Degree Attainment by Race or Gender (Statewide, 2023) </w:t>
      </w:r>
    </w:p>
    <w:p w14:paraId="00000055"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Source: </w:t>
      </w:r>
      <w:hyperlink r:id="rId12">
        <w:r>
          <w:rPr>
            <w:rFonts w:ascii="Times New Roman" w:eastAsia="Times New Roman" w:hAnsi="Times New Roman" w:cs="Times New Roman"/>
            <w:color w:val="1155CC"/>
            <w:u w:val="single"/>
          </w:rPr>
          <w:t>US Census, American Community Survey</w:t>
        </w:r>
      </w:hyperlink>
      <w:r>
        <w:rPr>
          <w:rFonts w:ascii="Times New Roman" w:eastAsia="Times New Roman" w:hAnsi="Times New Roman" w:cs="Times New Roman"/>
          <w:color w:val="273540"/>
        </w:rPr>
        <w:t xml:space="preserve"> 2023 five-year estimates </w:t>
      </w:r>
    </w:p>
    <w:p w14:paraId="00000056"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Observations: 612 observations, 10 variables </w:t>
      </w:r>
    </w:p>
    <w:p w14:paraId="00000057" w14:textId="77777777" w:rsidR="009A117D" w:rsidRDefault="00000000">
      <w:pPr>
        <w:numPr>
          <w:ilvl w:val="1"/>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Key Variables: </w:t>
      </w:r>
    </w:p>
    <w:p w14:paraId="00000058" w14:textId="77777777" w:rsidR="009A117D" w:rsidRDefault="00000000">
      <w:pPr>
        <w:numPr>
          <w:ilvl w:val="2"/>
          <w:numId w:val="1"/>
        </w:numPr>
        <w:rPr>
          <w:rFonts w:ascii="Times New Roman" w:eastAsia="Times New Roman" w:hAnsi="Times New Roman" w:cs="Times New Roman"/>
          <w:b/>
          <w:color w:val="273540"/>
        </w:rPr>
      </w:pPr>
      <w:r>
        <w:rPr>
          <w:rFonts w:ascii="Times New Roman" w:eastAsia="Times New Roman" w:hAnsi="Times New Roman" w:cs="Times New Roman"/>
          <w:b/>
          <w:color w:val="273540"/>
        </w:rPr>
        <w:t xml:space="preserve">Bachelor’s Degree or Higher </w:t>
      </w:r>
    </w:p>
    <w:p w14:paraId="00000059"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High School Diploma or Higher </w:t>
      </w:r>
    </w:p>
    <w:p w14:paraId="0000005A" w14:textId="77777777" w:rsidR="009A117D" w:rsidRDefault="00000000">
      <w:pPr>
        <w:numPr>
          <w:ilvl w:val="2"/>
          <w:numId w:val="1"/>
        </w:numPr>
        <w:rPr>
          <w:rFonts w:ascii="Times New Roman" w:eastAsia="Times New Roman" w:hAnsi="Times New Roman" w:cs="Times New Roman"/>
          <w:color w:val="273540"/>
        </w:rPr>
      </w:pPr>
      <w:r>
        <w:rPr>
          <w:rFonts w:ascii="Times New Roman" w:eastAsia="Times New Roman" w:hAnsi="Times New Roman" w:cs="Times New Roman"/>
          <w:color w:val="273540"/>
        </w:rPr>
        <w:t xml:space="preserve">Race (Asian, Black, Hispanic, White) </w:t>
      </w:r>
    </w:p>
    <w:p w14:paraId="0000005B" w14:textId="77777777" w:rsidR="009A117D" w:rsidRDefault="00000000">
      <w:pPr>
        <w:numPr>
          <w:ilvl w:val="2"/>
          <w:numId w:val="1"/>
        </w:num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Sex (Female or Male) </w:t>
      </w:r>
    </w:p>
    <w:p w14:paraId="0000005C" w14:textId="77777777" w:rsidR="009A117D" w:rsidRDefault="00000000">
      <w:pPr>
        <w:spacing w:after="100"/>
        <w:rPr>
          <w:rFonts w:ascii="Times New Roman" w:eastAsia="Times New Roman" w:hAnsi="Times New Roman" w:cs="Times New Roman"/>
          <w:b/>
          <w:color w:val="273540"/>
        </w:rPr>
      </w:pPr>
      <w:r>
        <w:rPr>
          <w:rFonts w:ascii="Times New Roman" w:eastAsia="Times New Roman" w:hAnsi="Times New Roman" w:cs="Times New Roman"/>
          <w:b/>
        </w:rPr>
        <w:lastRenderedPageBreak/>
        <w:t xml:space="preserve">Key Variables for Visualization: </w:t>
      </w:r>
      <w:r>
        <w:rPr>
          <w:rFonts w:ascii="Times New Roman" w:eastAsia="Times New Roman" w:hAnsi="Times New Roman" w:cs="Times New Roman"/>
          <w:b/>
          <w:color w:val="273540"/>
        </w:rPr>
        <w:t xml:space="preserve"> </w:t>
      </w:r>
    </w:p>
    <w:p w14:paraId="0000005D" w14:textId="77777777" w:rsidR="009A117D" w:rsidRDefault="00000000">
      <w:pPr>
        <w:spacing w:after="100"/>
        <w:rPr>
          <w:rFonts w:ascii="Times New Roman" w:eastAsia="Times New Roman" w:hAnsi="Times New Roman" w:cs="Times New Roman"/>
          <w:i/>
          <w:color w:val="273540"/>
        </w:rPr>
      </w:pPr>
      <w:r>
        <w:rPr>
          <w:rFonts w:ascii="Times New Roman" w:eastAsia="Times New Roman" w:hAnsi="Times New Roman" w:cs="Times New Roman"/>
          <w:i/>
          <w:color w:val="273540"/>
        </w:rPr>
        <w:t xml:space="preserve">Poverty Percentage </w:t>
      </w:r>
    </w:p>
    <w:p w14:paraId="0000005E"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A statewide poverty indicator is foundational to this project in providing a baseline understanding of overall economic mobility. Pairing poverty by race, education status, joblessness, and other indicators will highlight true inequities </w:t>
      </w:r>
      <w:proofErr w:type="gramStart"/>
      <w:r>
        <w:rPr>
          <w:rFonts w:ascii="Times New Roman" w:eastAsia="Times New Roman" w:hAnsi="Times New Roman" w:cs="Times New Roman"/>
          <w:color w:val="273540"/>
        </w:rPr>
        <w:t>and also</w:t>
      </w:r>
      <w:proofErr w:type="gramEnd"/>
      <w:r>
        <w:rPr>
          <w:rFonts w:ascii="Times New Roman" w:eastAsia="Times New Roman" w:hAnsi="Times New Roman" w:cs="Times New Roman"/>
          <w:color w:val="273540"/>
        </w:rPr>
        <w:t xml:space="preserve"> expose places for opportunity as well. This indicator is special because it measures poverty yearly at the national level. </w:t>
      </w:r>
    </w:p>
    <w:p w14:paraId="0000005F" w14:textId="77777777" w:rsidR="009A117D" w:rsidRDefault="00000000">
      <w:pPr>
        <w:spacing w:after="100"/>
        <w:rPr>
          <w:rFonts w:ascii="Times New Roman" w:eastAsia="Times New Roman" w:hAnsi="Times New Roman" w:cs="Times New Roman"/>
          <w:i/>
          <w:color w:val="273540"/>
        </w:rPr>
      </w:pPr>
      <w:r>
        <w:rPr>
          <w:rFonts w:ascii="Times New Roman" w:eastAsia="Times New Roman" w:hAnsi="Times New Roman" w:cs="Times New Roman"/>
          <w:i/>
          <w:color w:val="273540"/>
        </w:rPr>
        <w:t xml:space="preserve">Assets </w:t>
      </w:r>
    </w:p>
    <w:p w14:paraId="00000060"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The assets indicator defines wealth accumulation and stability. As a cumulative indicator, it combines and is divisible by Cash Value of Whole Life Insurance, Directly Held Stocks, Pooled Investment Fund Assets, Quasi-Liquid Retirement Accounts, and Total Value of Household Stock Holdings. By visualizing assets, it will be insightful to see access to opportunity in what we assume education status heightens, but also how joblessness and poverty can decrease as well. </w:t>
      </w:r>
    </w:p>
    <w:p w14:paraId="00000061" w14:textId="77777777" w:rsidR="009A117D" w:rsidRDefault="00000000">
      <w:pPr>
        <w:spacing w:after="100"/>
        <w:rPr>
          <w:rFonts w:ascii="Times New Roman" w:eastAsia="Times New Roman" w:hAnsi="Times New Roman" w:cs="Times New Roman"/>
          <w:i/>
          <w:color w:val="273540"/>
        </w:rPr>
      </w:pPr>
      <w:r>
        <w:rPr>
          <w:rFonts w:ascii="Times New Roman" w:eastAsia="Times New Roman" w:hAnsi="Times New Roman" w:cs="Times New Roman"/>
          <w:i/>
          <w:color w:val="273540"/>
        </w:rPr>
        <w:t>Debt</w:t>
      </w:r>
    </w:p>
    <w:p w14:paraId="00000062"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Debt as an indicator tells the other side of the wealth story. It will be interesting to see how some debt, like mortgages and student loans, especially paired with low assets and age, can early on lock households and generations into cycles of instability. Visualizing debt with other indicators will be key in either predicting/or analyzing specific policies meant to alleviate debt burdens. </w:t>
      </w:r>
    </w:p>
    <w:p w14:paraId="00000063" w14:textId="77777777" w:rsidR="009A117D" w:rsidRDefault="00000000">
      <w:pPr>
        <w:spacing w:after="100"/>
        <w:rPr>
          <w:rFonts w:ascii="Times New Roman" w:eastAsia="Times New Roman" w:hAnsi="Times New Roman" w:cs="Times New Roman"/>
          <w:i/>
          <w:color w:val="273540"/>
        </w:rPr>
      </w:pPr>
      <w:r>
        <w:rPr>
          <w:rFonts w:ascii="Times New Roman" w:eastAsia="Times New Roman" w:hAnsi="Times New Roman" w:cs="Times New Roman"/>
          <w:i/>
          <w:color w:val="273540"/>
        </w:rPr>
        <w:t xml:space="preserve">Reason for Unemployment </w:t>
      </w:r>
    </w:p>
    <w:p w14:paraId="00000064" w14:textId="77777777" w:rsidR="009A117D" w:rsidRDefault="00000000">
      <w:pPr>
        <w:spacing w:after="100"/>
        <w:rPr>
          <w:rFonts w:ascii="Times New Roman" w:eastAsia="Times New Roman" w:hAnsi="Times New Roman" w:cs="Times New Roman"/>
          <w:color w:val="273540"/>
        </w:rPr>
      </w:pPr>
      <w:r>
        <w:rPr>
          <w:rFonts w:ascii="Times New Roman" w:eastAsia="Times New Roman" w:hAnsi="Times New Roman" w:cs="Times New Roman"/>
          <w:color w:val="273540"/>
        </w:rPr>
        <w:t xml:space="preserve">Unemployment rates, including the reasons for unemployment, are a hot topic pertaining to the employment crisis right now, and analyzing poverty and economic mobility. While unemployment may seem like a game of luck, visualizing trends geospatially and understanding why will uncover the structural inequities within the labor market, enhanced by other factors embedded in the dataset as well. </w:t>
      </w:r>
    </w:p>
    <w:p w14:paraId="00000065" w14:textId="77777777" w:rsidR="009A117D" w:rsidRDefault="00000000">
      <w:pPr>
        <w:spacing w:after="100"/>
        <w:rPr>
          <w:rFonts w:ascii="Times New Roman" w:eastAsia="Times New Roman" w:hAnsi="Times New Roman" w:cs="Times New Roman"/>
          <w:i/>
          <w:color w:val="273540"/>
        </w:rPr>
      </w:pPr>
      <w:r>
        <w:rPr>
          <w:rFonts w:ascii="Times New Roman" w:eastAsia="Times New Roman" w:hAnsi="Times New Roman" w:cs="Times New Roman"/>
          <w:i/>
          <w:color w:val="273540"/>
        </w:rPr>
        <w:t xml:space="preserve">Bachelor’s Degree or Higher </w:t>
      </w:r>
    </w:p>
    <w:p w14:paraId="00000066" w14:textId="77777777" w:rsidR="009A117D" w:rsidRDefault="00000000">
      <w:pPr>
        <w:spacing w:after="100"/>
        <w:rPr>
          <w:rFonts w:ascii="Times New Roman" w:eastAsia="Times New Roman" w:hAnsi="Times New Roman" w:cs="Times New Roman"/>
          <w:b/>
        </w:rPr>
      </w:pPr>
      <w:r>
        <w:rPr>
          <w:rFonts w:ascii="Times New Roman" w:eastAsia="Times New Roman" w:hAnsi="Times New Roman" w:cs="Times New Roman"/>
          <w:color w:val="273540"/>
        </w:rPr>
        <w:t xml:space="preserve">Educational attainment has been a critical determinant of earnings, like life expectancy and overall wealth. However, even when Black and Hispanic people achieve higher education, the wealth returns remain lower in comparison to others. An educational indicator is necessary to fully address and capture wealth accumulation within these racial groups. </w:t>
      </w:r>
    </w:p>
    <w:p w14:paraId="00000067" w14:textId="77777777" w:rsidR="009A117D" w:rsidRDefault="009A117D">
      <w:pPr>
        <w:rPr>
          <w:rFonts w:ascii="Times New Roman" w:eastAsia="Times New Roman" w:hAnsi="Times New Roman" w:cs="Times New Roman"/>
          <w:b/>
        </w:rPr>
      </w:pPr>
    </w:p>
    <w:p w14:paraId="00000068" w14:textId="77777777" w:rsidR="009A117D" w:rsidRDefault="009A117D">
      <w:pPr>
        <w:rPr>
          <w:rFonts w:ascii="Times New Roman" w:eastAsia="Times New Roman" w:hAnsi="Times New Roman" w:cs="Times New Roman"/>
          <w:b/>
        </w:rPr>
      </w:pPr>
    </w:p>
    <w:p w14:paraId="00000069" w14:textId="77777777" w:rsidR="009A117D" w:rsidRDefault="009A117D">
      <w:pPr>
        <w:rPr>
          <w:rFonts w:ascii="Times New Roman" w:eastAsia="Times New Roman" w:hAnsi="Times New Roman" w:cs="Times New Roman"/>
          <w:b/>
        </w:rPr>
      </w:pPr>
    </w:p>
    <w:p w14:paraId="0000006A" w14:textId="77777777" w:rsidR="009A117D" w:rsidRDefault="009A117D">
      <w:pPr>
        <w:rPr>
          <w:rFonts w:ascii="Times New Roman" w:eastAsia="Times New Roman" w:hAnsi="Times New Roman" w:cs="Times New Roman"/>
          <w:b/>
        </w:rPr>
      </w:pPr>
    </w:p>
    <w:p w14:paraId="0000006B" w14:textId="77777777" w:rsidR="009A117D" w:rsidRDefault="009A117D">
      <w:pPr>
        <w:rPr>
          <w:rFonts w:ascii="Times New Roman" w:eastAsia="Times New Roman" w:hAnsi="Times New Roman" w:cs="Times New Roman"/>
          <w:b/>
        </w:rPr>
      </w:pPr>
    </w:p>
    <w:p w14:paraId="0000006C" w14:textId="77777777" w:rsidR="009A117D" w:rsidRDefault="009A117D">
      <w:pPr>
        <w:rPr>
          <w:rFonts w:ascii="Times New Roman" w:eastAsia="Times New Roman" w:hAnsi="Times New Roman" w:cs="Times New Roman"/>
          <w:b/>
        </w:rPr>
      </w:pPr>
    </w:p>
    <w:p w14:paraId="0000006D" w14:textId="77777777" w:rsidR="009A117D" w:rsidRDefault="009A117D">
      <w:pPr>
        <w:rPr>
          <w:rFonts w:ascii="Times New Roman" w:eastAsia="Times New Roman" w:hAnsi="Times New Roman" w:cs="Times New Roman"/>
          <w:b/>
        </w:rPr>
      </w:pPr>
    </w:p>
    <w:p w14:paraId="0000006E" w14:textId="77777777" w:rsidR="009A117D" w:rsidRDefault="009A117D">
      <w:pPr>
        <w:rPr>
          <w:rFonts w:ascii="Times New Roman" w:eastAsia="Times New Roman" w:hAnsi="Times New Roman" w:cs="Times New Roman"/>
          <w:b/>
        </w:rPr>
      </w:pPr>
    </w:p>
    <w:p w14:paraId="0000006F" w14:textId="77777777" w:rsidR="009A117D" w:rsidRDefault="009A117D">
      <w:pPr>
        <w:rPr>
          <w:rFonts w:ascii="Times New Roman" w:eastAsia="Times New Roman" w:hAnsi="Times New Roman" w:cs="Times New Roman"/>
          <w:b/>
        </w:rPr>
      </w:pPr>
    </w:p>
    <w:p w14:paraId="00000070" w14:textId="77777777" w:rsidR="009A117D" w:rsidRDefault="009A117D">
      <w:pPr>
        <w:rPr>
          <w:rFonts w:ascii="Times New Roman" w:eastAsia="Times New Roman" w:hAnsi="Times New Roman" w:cs="Times New Roman"/>
          <w:b/>
        </w:rPr>
      </w:pPr>
    </w:p>
    <w:p w14:paraId="00000071" w14:textId="77777777" w:rsidR="009A117D" w:rsidRDefault="009A117D">
      <w:pPr>
        <w:rPr>
          <w:rFonts w:ascii="Times New Roman" w:eastAsia="Times New Roman" w:hAnsi="Times New Roman" w:cs="Times New Roman"/>
          <w:b/>
        </w:rPr>
      </w:pPr>
    </w:p>
    <w:p w14:paraId="00000072" w14:textId="77777777" w:rsidR="009A117D" w:rsidRDefault="009A117D">
      <w:pPr>
        <w:rPr>
          <w:rFonts w:ascii="Times New Roman" w:eastAsia="Times New Roman" w:hAnsi="Times New Roman" w:cs="Times New Roman"/>
          <w:b/>
        </w:rPr>
      </w:pPr>
    </w:p>
    <w:p w14:paraId="00000073" w14:textId="77777777" w:rsidR="009A117D" w:rsidRDefault="009A117D">
      <w:pPr>
        <w:rPr>
          <w:rFonts w:ascii="Times New Roman" w:eastAsia="Times New Roman" w:hAnsi="Times New Roman" w:cs="Times New Roman"/>
          <w:b/>
        </w:rPr>
      </w:pPr>
    </w:p>
    <w:p w14:paraId="00000074" w14:textId="77777777" w:rsidR="009A117D" w:rsidRDefault="009A117D">
      <w:pPr>
        <w:rPr>
          <w:rFonts w:ascii="Times New Roman" w:eastAsia="Times New Roman" w:hAnsi="Times New Roman" w:cs="Times New Roman"/>
          <w:b/>
        </w:rPr>
      </w:pPr>
    </w:p>
    <w:p w14:paraId="00000075" w14:textId="77777777" w:rsidR="009A117D" w:rsidRDefault="009A117D">
      <w:pPr>
        <w:rPr>
          <w:rFonts w:ascii="Times New Roman" w:eastAsia="Times New Roman" w:hAnsi="Times New Roman" w:cs="Times New Roman"/>
          <w:b/>
        </w:rPr>
      </w:pPr>
    </w:p>
    <w:p w14:paraId="00000076" w14:textId="77777777" w:rsidR="009A117D" w:rsidRDefault="009A117D">
      <w:pPr>
        <w:rPr>
          <w:rFonts w:ascii="Times New Roman" w:eastAsia="Times New Roman" w:hAnsi="Times New Roman" w:cs="Times New Roman"/>
          <w:b/>
        </w:rPr>
      </w:pPr>
    </w:p>
    <w:p w14:paraId="00000077" w14:textId="77777777" w:rsidR="009A117D" w:rsidRDefault="009A117D">
      <w:pPr>
        <w:rPr>
          <w:rFonts w:ascii="Times New Roman" w:eastAsia="Times New Roman" w:hAnsi="Times New Roman" w:cs="Times New Roman"/>
          <w:b/>
        </w:rPr>
      </w:pPr>
    </w:p>
    <w:p w14:paraId="00000078" w14:textId="77777777" w:rsidR="009A117D" w:rsidRDefault="009A117D">
      <w:pPr>
        <w:rPr>
          <w:rFonts w:ascii="Times New Roman" w:eastAsia="Times New Roman" w:hAnsi="Times New Roman" w:cs="Times New Roman"/>
          <w:b/>
        </w:rPr>
      </w:pPr>
    </w:p>
    <w:p w14:paraId="00000079" w14:textId="77777777" w:rsidR="009A117D" w:rsidRDefault="00000000">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References</w:t>
      </w:r>
    </w:p>
    <w:p w14:paraId="0000007A" w14:textId="77777777" w:rsidR="009A117D"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Buckman, S. R., Choi, L. Y., Daly, M. C., &amp; </w:t>
      </w:r>
      <w:proofErr w:type="spellStart"/>
      <w:r>
        <w:rPr>
          <w:rFonts w:ascii="Times New Roman" w:eastAsia="Times New Roman" w:hAnsi="Times New Roman" w:cs="Times New Roman"/>
        </w:rPr>
        <w:t>Seitelman</w:t>
      </w:r>
      <w:proofErr w:type="spellEnd"/>
      <w:r>
        <w:rPr>
          <w:rFonts w:ascii="Times New Roman" w:eastAsia="Times New Roman" w:hAnsi="Times New Roman" w:cs="Times New Roman"/>
        </w:rPr>
        <w:t xml:space="preserve">, L. M. (2021, September 8). </w:t>
      </w:r>
      <w:r>
        <w:rPr>
          <w:rFonts w:ascii="Times New Roman" w:eastAsia="Times New Roman" w:hAnsi="Times New Roman" w:cs="Times New Roman"/>
          <w:i/>
        </w:rPr>
        <w:t>The economic gains from equity | Brookings</w:t>
      </w:r>
      <w:r>
        <w:rPr>
          <w:rFonts w:ascii="Times New Roman" w:eastAsia="Times New Roman" w:hAnsi="Times New Roman" w:cs="Times New Roman"/>
        </w:rPr>
        <w:t>. Brookings Institution. Retrieved September 22, 2025, from https://www.brookings.edu/articles/the-economic-gains-from-equity/</w:t>
      </w:r>
    </w:p>
    <w:p w14:paraId="0000007B" w14:textId="77777777" w:rsidR="009A117D"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U.S. Bureau of Labor Statistics. (2025, September 5). </w:t>
      </w:r>
      <w:r>
        <w:rPr>
          <w:rFonts w:ascii="Times New Roman" w:eastAsia="Times New Roman" w:hAnsi="Times New Roman" w:cs="Times New Roman"/>
          <w:i/>
        </w:rPr>
        <w:t>Table A-2. Employment status of the civilian population by race, sex, and age - 2025 M08 Results</w:t>
      </w:r>
      <w:r>
        <w:rPr>
          <w:rFonts w:ascii="Times New Roman" w:eastAsia="Times New Roman" w:hAnsi="Times New Roman" w:cs="Times New Roman"/>
        </w:rPr>
        <w:t>. U.S. Bureau of Labor Statistics. Retrieved September 22, 2025, from https://www.bls.gov/news.release/empsit.t02.htm</w:t>
      </w:r>
    </w:p>
    <w:p w14:paraId="0000007C" w14:textId="77777777" w:rsidR="009A117D" w:rsidRDefault="00000000">
      <w:pPr>
        <w:spacing w:line="480" w:lineRule="auto"/>
        <w:ind w:left="720"/>
        <w:rPr>
          <w:rFonts w:ascii="Times New Roman" w:eastAsia="Times New Roman" w:hAnsi="Times New Roman" w:cs="Times New Roman"/>
        </w:rPr>
      </w:pPr>
      <w:r>
        <w:rPr>
          <w:rFonts w:ascii="Times New Roman" w:eastAsia="Times New Roman" w:hAnsi="Times New Roman" w:cs="Times New Roman"/>
        </w:rPr>
        <w:t xml:space="preserve">U.S. Department of Labor. (2024, March 12). </w:t>
      </w:r>
      <w:r>
        <w:rPr>
          <w:rFonts w:ascii="Times New Roman" w:eastAsia="Times New Roman" w:hAnsi="Times New Roman" w:cs="Times New Roman"/>
          <w:i/>
        </w:rPr>
        <w:t>U.S. Department of Labor Releases Research on Continued Economic Effects of Job Segregation, Pay Disparities on Black, Hispanic Women</w:t>
      </w:r>
      <w:r>
        <w:rPr>
          <w:rFonts w:ascii="Times New Roman" w:eastAsia="Times New Roman" w:hAnsi="Times New Roman" w:cs="Times New Roman"/>
        </w:rPr>
        <w:t>. U.S. Department of Labor. Retrieved September 22, 2025, from https://www.dol.gov/newsroom/releases/wb/wb20240312</w:t>
      </w:r>
    </w:p>
    <w:p w14:paraId="0000007D" w14:textId="77777777" w:rsidR="009A117D" w:rsidRDefault="009A117D">
      <w:pPr>
        <w:rPr>
          <w:rFonts w:ascii="Times New Roman" w:eastAsia="Times New Roman" w:hAnsi="Times New Roman" w:cs="Times New Roman"/>
          <w:b/>
        </w:rPr>
      </w:pPr>
    </w:p>
    <w:p w14:paraId="0000007E" w14:textId="77777777" w:rsidR="009A117D" w:rsidRDefault="009A117D">
      <w:pPr>
        <w:rPr>
          <w:rFonts w:ascii="Times New Roman" w:eastAsia="Times New Roman" w:hAnsi="Times New Roman" w:cs="Times New Roman"/>
          <w:b/>
        </w:rPr>
      </w:pPr>
    </w:p>
    <w:sectPr w:rsidR="009A117D">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A0C93" w14:textId="77777777" w:rsidR="007E007D" w:rsidRDefault="007E007D">
      <w:pPr>
        <w:spacing w:line="240" w:lineRule="auto"/>
      </w:pPr>
      <w:r>
        <w:separator/>
      </w:r>
    </w:p>
  </w:endnote>
  <w:endnote w:type="continuationSeparator" w:id="0">
    <w:p w14:paraId="282A5AFB" w14:textId="77777777" w:rsidR="007E007D" w:rsidRDefault="007E00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1EEE9" w14:textId="77777777" w:rsidR="007E007D" w:rsidRDefault="007E007D">
      <w:pPr>
        <w:spacing w:line="240" w:lineRule="auto"/>
      </w:pPr>
      <w:r>
        <w:separator/>
      </w:r>
    </w:p>
  </w:footnote>
  <w:footnote w:type="continuationSeparator" w:id="0">
    <w:p w14:paraId="7B8FADAD" w14:textId="77777777" w:rsidR="007E007D" w:rsidRDefault="007E00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F" w14:textId="77777777" w:rsidR="009A117D" w:rsidRDefault="009A117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B7C"/>
    <w:multiLevelType w:val="multilevel"/>
    <w:tmpl w:val="8CD2D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8568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7D"/>
    <w:rsid w:val="007E007D"/>
    <w:rsid w:val="009A117D"/>
    <w:rsid w:val="00D15AEE"/>
    <w:rsid w:val="00ED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962BE"/>
  <w15:docId w15:val="{E2E7E13D-0BBC-054A-814C-0E83BB57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blackwealthdata.org/sign-up/accounts?gad_source=1&amp;gad_campaignid=21453939514&amp;gbraid=0AAAAAp3cdIFSwasW8cVuhNUQy_HPUUBSR&amp;gclid=Cj0KCQjw58PGBhCkARIsADbDilxIGN9ySN14nKl0wKQXwh2VwwtGlMpi73luwa3KguBO-bQ_CXHouCAaAhWjEALw_wcB"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programs-surveys/a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ederalreserve.gov/econres/scfindex.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ederalreserve.gov/econres/scfindex.htm" TargetMode="External"/><Relationship Id="rId4" Type="http://schemas.openxmlformats.org/officeDocument/2006/relationships/settings" Target="settings.xml"/><Relationship Id="rId9" Type="http://schemas.openxmlformats.org/officeDocument/2006/relationships/hyperlink" Target="https://povertycenter.columbia.edu/forecasting-monthly-poverty-d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5</b:Day>
    <b:DayAccessed>22</b:DayAccessed>
    <b:Month>September</b:Month>
    <b:MonthAccessed>September</b:MonthAccessed>
    <b:Title>Table A-2. Employment status of the civilian population by race, sex, and age - 2025 M08 Results</b:Title>
    <b:URL>https://www.bls.gov/news.release/empsit.t02.htm</b:URL>
    <b:InternetSiteTitle>U.S. Bureau of Labor Statistics</b:InternetSiteTitle>
    <b:Year>2025</b:Year>
    <b:YearAccessed>2025</b:YearAccessed>
    <b:Gdcea>{"AccessedType":"Website"}</b:Gdcea>
    <b:Author>
      <b:Author>
        <b:Corporate>U.S. Bureau of Labor Statistics</b:Corporate>
      </b:Author>
    </b:Author>
  </b:Source>
  <b:Source>
    <b:Tag>source2</b:Tag>
    <b:SourceType>DocumentFromInternetSite</b:SourceType>
    <b:Day>8</b:Day>
    <b:DayAccessed>22</b:DayAccessed>
    <b:Month>September</b:Month>
    <b:MonthAccessed>September</b:MonthAccessed>
    <b:Title>The economic gains from equity | Brookings</b:Title>
    <b:URL>https://www.brookings.edu/articles/the-economic-gains-from-equity/</b:URL>
    <b:InternetSiteTitle>Brookings Institution</b:InternetSiteTitle>
    <b:Year>2021</b:Year>
    <b:YearAccessed>2025</b:YearAccessed>
    <b:Gdcea>{"AccessedType":"Website"}</b:Gdcea>
    <b:Author>
      <b:Author>
        <b:NameList>
          <b:Person>
            <b:First>Shelby</b:First>
            <b:Middle>R.</b:Middle>
            <b:Last>Buckman</b:Last>
          </b:Person>
          <b:Person>
            <b:First>Laura</b:First>
            <b:Middle>Y</b:Middle>
            <b:Last>Choi</b:Last>
          </b:Person>
          <b:Person>
            <b:First>Mary</b:First>
            <b:Middle>C</b:Middle>
            <b:Last>Daly</b:Last>
          </b:Person>
          <b:Person>
            <b:First>Lily</b:First>
            <b:Middle>M</b:Middle>
            <b:Last>Seitelman</b:Last>
          </b:Person>
        </b:NameList>
      </b:Author>
    </b:Author>
  </b:Source>
  <b:Source>
    <b:Tag>source3</b:Tag>
    <b:SourceType>DocumentFromInternetSite</b:SourceType>
    <b:Day>12</b:Day>
    <b:DayAccessed>22</b:DayAccessed>
    <b:Month>March</b:Month>
    <b:MonthAccessed>September</b:MonthAccessed>
    <b:Title>U.S. Department of Labor Releases Research on Continued Economic Effects of Job Segregation, Pay Disparities on Black, Hispanic Women</b:Title>
    <b:URL>https://www.dol.gov/newsroom/releases/wb/wb20240312</b:URL>
    <b:InternetSiteTitle>U.S. Department of Labor</b:InternetSiteTitle>
    <b:Year>2024</b:Year>
    <b:YearAccessed>2025</b:YearAccessed>
    <b:Gdcea>{"AccessedType":"Website"}</b:Gdcea>
    <b:Author>
      <b:Author>
        <b:Corporate>U.S. Department of Labor</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Joya Wheatfall-Melvin</cp:lastModifiedBy>
  <cp:revision>2</cp:revision>
  <dcterms:created xsi:type="dcterms:W3CDTF">2025-10-14T00:44:00Z</dcterms:created>
  <dcterms:modified xsi:type="dcterms:W3CDTF">2025-10-14T03:59:00Z</dcterms:modified>
</cp:coreProperties>
</file>