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E7EA" w14:textId="77777777" w:rsidR="003671C1" w:rsidRDefault="003671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E70014E" w14:textId="77777777" w:rsidR="003671C1" w:rsidRDefault="00D223EA">
      <w:pPr>
        <w:jc w:val="center"/>
        <w:rPr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Lab 12: Ideal Gas Law</w:t>
      </w:r>
    </w:p>
    <w:p w14:paraId="69EEEC91" w14:textId="77777777" w:rsidR="003671C1" w:rsidRDefault="003671C1"/>
    <w:p w14:paraId="0DF671B6" w14:textId="77777777" w:rsidR="003671C1" w:rsidRDefault="00D223EA">
      <w:pPr>
        <w:numPr>
          <w:ilvl w:val="0"/>
          <w:numId w:val="9"/>
        </w:numPr>
        <w:ind w:left="360"/>
        <w:rPr>
          <w:b/>
          <w:u w:val="single"/>
        </w:rPr>
      </w:pPr>
      <w:r>
        <w:rPr>
          <w:b/>
          <w:u w:val="single"/>
        </w:rPr>
        <w:t>Testable Questions:</w:t>
      </w:r>
    </w:p>
    <w:p w14:paraId="42751055" w14:textId="77777777" w:rsidR="003671C1" w:rsidRDefault="003671C1"/>
    <w:p w14:paraId="20007615" w14:textId="77777777" w:rsidR="003671C1" w:rsidRDefault="00D223E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How is volume (V, ml) related to pressure (P, kPa)?</w:t>
      </w:r>
    </w:p>
    <w:p w14:paraId="4CBEB801" w14:textId="77777777" w:rsidR="003671C1" w:rsidRDefault="003671C1"/>
    <w:p w14:paraId="4BA5D6EE" w14:textId="77777777" w:rsidR="003671C1" w:rsidRDefault="00D223E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How is temperature (T, °C) related to pressure (P, kPa)?</w:t>
      </w:r>
    </w:p>
    <w:p w14:paraId="343336C3" w14:textId="77777777" w:rsidR="003671C1" w:rsidRDefault="003671C1"/>
    <w:p w14:paraId="2BC8A990" w14:textId="77777777" w:rsidR="003671C1" w:rsidRDefault="00D223EA">
      <w:pPr>
        <w:numPr>
          <w:ilvl w:val="0"/>
          <w:numId w:val="9"/>
        </w:numPr>
        <w:ind w:left="360"/>
        <w:rPr>
          <w:b/>
          <w:u w:val="single"/>
        </w:rPr>
      </w:pPr>
      <w:r>
        <w:rPr>
          <w:b/>
          <w:u w:val="single"/>
        </w:rPr>
        <w:t>Hypothesis:</w:t>
      </w:r>
    </w:p>
    <w:p w14:paraId="4C1DC12B" w14:textId="77777777" w:rsidR="003671C1" w:rsidRDefault="003671C1"/>
    <w:p w14:paraId="2C886FE1" w14:textId="77777777" w:rsidR="003671C1" w:rsidRDefault="00D223E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As volume (V, ml) increases, pressure (P, kPa) will decrease because molecules have more space.</w:t>
      </w:r>
    </w:p>
    <w:p w14:paraId="0938DBBD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552A2B2" w14:textId="77777777" w:rsidR="003671C1" w:rsidRDefault="00D223E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As temperature (T, °C) increases, pressure (P, kPa) will increase due to the molecules becoming more excited.</w:t>
      </w:r>
    </w:p>
    <w:p w14:paraId="2E3879FB" w14:textId="77777777" w:rsidR="003671C1" w:rsidRDefault="003671C1"/>
    <w:p w14:paraId="47AC5A90" w14:textId="77777777" w:rsidR="003671C1" w:rsidRDefault="003671C1"/>
    <w:p w14:paraId="3A1B31FC" w14:textId="77777777" w:rsidR="003671C1" w:rsidRDefault="00D223EA">
      <w:pPr>
        <w:numPr>
          <w:ilvl w:val="0"/>
          <w:numId w:val="9"/>
        </w:numPr>
        <w:ind w:left="360"/>
        <w:rPr>
          <w:b/>
          <w:u w:val="single"/>
        </w:rPr>
      </w:pPr>
      <w:r>
        <w:rPr>
          <w:b/>
          <w:u w:val="single"/>
        </w:rPr>
        <w:t>Variables:</w:t>
      </w:r>
    </w:p>
    <w:p w14:paraId="40596B10" w14:textId="77777777" w:rsidR="003671C1" w:rsidRDefault="003671C1">
      <w:pPr>
        <w:ind w:firstLine="720"/>
      </w:pPr>
    </w:p>
    <w:p w14:paraId="416D0879" w14:textId="77777777" w:rsidR="003671C1" w:rsidRDefault="00D223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Controls: Gas cons</w:t>
      </w:r>
      <w:r>
        <w:rPr>
          <w:b/>
        </w:rPr>
        <w:t xml:space="preserve">tant (R); Number </w:t>
      </w:r>
      <w:r>
        <w:rPr>
          <w:b/>
        </w:rPr>
        <w:t>of moles (n, mol); Temperature = constant (T, °C); Tube Volume = 2.14 (mL</w:t>
      </w:r>
      <w:r>
        <w:t>)</w:t>
      </w:r>
    </w:p>
    <w:p w14:paraId="0EEAE4A0" w14:textId="77777777" w:rsidR="003671C1" w:rsidRDefault="00D223EA">
      <w:pPr>
        <w:ind w:left="360" w:firstLine="720"/>
        <w:rPr>
          <w:b/>
        </w:rPr>
      </w:pPr>
      <w:r>
        <w:rPr>
          <w:b/>
        </w:rPr>
        <w:t>Independent:</w:t>
      </w:r>
      <w:r>
        <w:t xml:space="preserve"> Volume</w:t>
      </w:r>
    </w:p>
    <w:p w14:paraId="6451795B" w14:textId="77777777" w:rsidR="003671C1" w:rsidRDefault="00D223EA">
      <w:pPr>
        <w:ind w:left="720" w:firstLine="360"/>
        <w:rPr>
          <w:b/>
        </w:rPr>
      </w:pPr>
      <w:r>
        <w:rPr>
          <w:b/>
        </w:rPr>
        <w:t>Dependent:</w:t>
      </w:r>
      <w:r>
        <w:t xml:space="preserve"> Pressure</w:t>
      </w:r>
    </w:p>
    <w:p w14:paraId="24A990D8" w14:textId="77777777" w:rsidR="003671C1" w:rsidRDefault="003671C1">
      <w:pPr>
        <w:ind w:left="720" w:firstLine="360"/>
        <w:rPr>
          <w:b/>
        </w:rPr>
      </w:pPr>
    </w:p>
    <w:p w14:paraId="182680D1" w14:textId="77777777" w:rsidR="003671C1" w:rsidRDefault="00D223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Controls:</w:t>
      </w:r>
      <w:r>
        <w:rPr>
          <w:b/>
          <w:color w:val="000000"/>
        </w:rPr>
        <w:t xml:space="preserve"> Gas constant (</w:t>
      </w:r>
      <w:r>
        <w:rPr>
          <w:b/>
        </w:rPr>
        <w:t>R); Number of moles (n, mol); Volume = constant (V, ml)</w:t>
      </w:r>
    </w:p>
    <w:p w14:paraId="18289D4E" w14:textId="77777777" w:rsidR="003671C1" w:rsidRDefault="00D223EA">
      <w:pPr>
        <w:ind w:left="360" w:firstLine="720"/>
        <w:rPr>
          <w:b/>
        </w:rPr>
      </w:pPr>
      <w:r>
        <w:rPr>
          <w:b/>
        </w:rPr>
        <w:t>Independent:</w:t>
      </w:r>
      <w:r>
        <w:t xml:space="preserve"> Temperature (T, °C)</w:t>
      </w:r>
    </w:p>
    <w:p w14:paraId="692788D5" w14:textId="77777777" w:rsidR="003671C1" w:rsidRDefault="00D223EA">
      <w:pPr>
        <w:ind w:left="720" w:firstLine="360"/>
      </w:pPr>
      <w:r>
        <w:rPr>
          <w:b/>
        </w:rPr>
        <w:t>Dependent:</w:t>
      </w:r>
      <w:r>
        <w:t xml:space="preserve"> Pressure (kPa)</w:t>
      </w:r>
    </w:p>
    <w:p w14:paraId="2CB948DE" w14:textId="77777777" w:rsidR="003671C1" w:rsidRDefault="003671C1"/>
    <w:p w14:paraId="5B2D3F4B" w14:textId="77777777" w:rsidR="003671C1" w:rsidRDefault="003671C1"/>
    <w:p w14:paraId="71E2077F" w14:textId="77777777" w:rsidR="003671C1" w:rsidRDefault="00D223EA">
      <w:pPr>
        <w:numPr>
          <w:ilvl w:val="0"/>
          <w:numId w:val="9"/>
        </w:numPr>
        <w:ind w:left="360"/>
        <w:rPr>
          <w:b/>
          <w:u w:val="single"/>
        </w:rPr>
      </w:pPr>
      <w:r>
        <w:rPr>
          <w:b/>
          <w:u w:val="single"/>
        </w:rPr>
        <w:t>Table Design:</w:t>
      </w:r>
    </w:p>
    <w:p w14:paraId="07467885" w14:textId="77777777" w:rsidR="003671C1" w:rsidRDefault="003671C1"/>
    <w:p w14:paraId="358A30A7" w14:textId="77777777" w:rsidR="003671C1" w:rsidRDefault="00D223EA">
      <w:r>
        <w:rPr>
          <w:b/>
        </w:rPr>
        <w:t>A Controls: Gas constant (R); Number of moles (n, mol); Temperature = constant (T, °C); Tube Volume = 2.14 (mL</w:t>
      </w:r>
      <w:r>
        <w:t>)</w:t>
      </w:r>
    </w:p>
    <w:p w14:paraId="11794233" w14:textId="77777777" w:rsidR="003671C1" w:rsidRDefault="003671C1"/>
    <w:p w14:paraId="73ED5599" w14:textId="77777777" w:rsidR="003671C1" w:rsidRDefault="003671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5628" w:type="dxa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734"/>
        <w:gridCol w:w="1734"/>
      </w:tblGrid>
      <w:tr w:rsidR="003671C1" w14:paraId="7E06119A" w14:textId="77777777">
        <w:tc>
          <w:tcPr>
            <w:tcW w:w="900" w:type="dxa"/>
          </w:tcPr>
          <w:p w14:paraId="72F9BBD3" w14:textId="77777777" w:rsidR="003671C1" w:rsidRDefault="00D223EA">
            <w:pPr>
              <w:spacing w:line="276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60" w:type="dxa"/>
          </w:tcPr>
          <w:p w14:paraId="71A7878F" w14:textId="77777777" w:rsidR="003671C1" w:rsidRDefault="00D223EA">
            <w:pPr>
              <w:spacing w:line="276" w:lineRule="auto"/>
              <w:jc w:val="center"/>
            </w:pPr>
            <w:r>
              <w:t>V (mL)</w:t>
            </w:r>
          </w:p>
        </w:tc>
        <w:tc>
          <w:tcPr>
            <w:tcW w:w="1734" w:type="dxa"/>
          </w:tcPr>
          <w:p w14:paraId="4308672B" w14:textId="77777777" w:rsidR="003671C1" w:rsidRDefault="00D223EA">
            <w:pPr>
              <w:spacing w:line="276" w:lineRule="auto"/>
              <w:jc w:val="center"/>
            </w:pPr>
            <w:r>
              <w:t>V</w:t>
            </w:r>
            <w:r>
              <w:rPr>
                <w:vertAlign w:val="superscript"/>
              </w:rPr>
              <w:t>-1</w:t>
            </w:r>
            <w:r>
              <w:t xml:space="preserve"> (mL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734" w:type="dxa"/>
          </w:tcPr>
          <w:p w14:paraId="346ABDF4" w14:textId="77777777" w:rsidR="003671C1" w:rsidRDefault="00D223EA">
            <w:pPr>
              <w:spacing w:line="276" w:lineRule="auto"/>
              <w:jc w:val="center"/>
            </w:pPr>
            <w:r>
              <w:t>P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</w:tr>
      <w:tr w:rsidR="003671C1" w14:paraId="6934196A" w14:textId="77777777">
        <w:tc>
          <w:tcPr>
            <w:tcW w:w="900" w:type="dxa"/>
          </w:tcPr>
          <w:p w14:paraId="49DE4A97" w14:textId="77777777" w:rsidR="003671C1" w:rsidRDefault="00D223EA">
            <w:pPr>
              <w:spacing w:line="276" w:lineRule="auto"/>
              <w:jc w:val="center"/>
            </w:pPr>
            <w:r>
              <w:t>1–8</w:t>
            </w:r>
          </w:p>
        </w:tc>
        <w:tc>
          <w:tcPr>
            <w:tcW w:w="1260" w:type="dxa"/>
          </w:tcPr>
          <w:p w14:paraId="6FE05041" w14:textId="77777777" w:rsidR="003671C1" w:rsidRDefault="003671C1">
            <w:pPr>
              <w:spacing w:line="276" w:lineRule="auto"/>
              <w:jc w:val="center"/>
            </w:pPr>
          </w:p>
        </w:tc>
        <w:tc>
          <w:tcPr>
            <w:tcW w:w="1734" w:type="dxa"/>
          </w:tcPr>
          <w:p w14:paraId="0B73BFCF" w14:textId="77777777" w:rsidR="003671C1" w:rsidRDefault="003671C1">
            <w:pPr>
              <w:spacing w:line="276" w:lineRule="auto"/>
              <w:jc w:val="center"/>
            </w:pPr>
          </w:p>
        </w:tc>
        <w:tc>
          <w:tcPr>
            <w:tcW w:w="1734" w:type="dxa"/>
          </w:tcPr>
          <w:p w14:paraId="729214C7" w14:textId="77777777" w:rsidR="003671C1" w:rsidRDefault="003671C1">
            <w:pPr>
              <w:spacing w:line="276" w:lineRule="auto"/>
              <w:jc w:val="center"/>
            </w:pPr>
          </w:p>
        </w:tc>
      </w:tr>
    </w:tbl>
    <w:p w14:paraId="0EBFF2EB" w14:textId="77777777" w:rsidR="003671C1" w:rsidRDefault="003671C1">
      <w:pPr>
        <w:rPr>
          <w:b/>
        </w:rPr>
      </w:pPr>
    </w:p>
    <w:p w14:paraId="74D6DB10" w14:textId="77777777" w:rsidR="003671C1" w:rsidRDefault="00D223EA">
      <w:r>
        <w:rPr>
          <w:b/>
        </w:rPr>
        <w:t>B Controls: Gas constant (R); Number of moles (n, mol); Volume = constant (V, ml)</w:t>
      </w:r>
    </w:p>
    <w:p w14:paraId="719EEFC4" w14:textId="77777777" w:rsidR="003671C1" w:rsidRDefault="003671C1"/>
    <w:p w14:paraId="79613540" w14:textId="77777777" w:rsidR="003671C1" w:rsidRDefault="003671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3894" w:type="dxa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734"/>
      </w:tblGrid>
      <w:tr w:rsidR="003671C1" w14:paraId="0268FFB9" w14:textId="77777777">
        <w:tc>
          <w:tcPr>
            <w:tcW w:w="900" w:type="dxa"/>
          </w:tcPr>
          <w:p w14:paraId="2144CC9E" w14:textId="77777777" w:rsidR="003671C1" w:rsidRDefault="00D223EA">
            <w:pPr>
              <w:spacing w:line="276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60" w:type="dxa"/>
          </w:tcPr>
          <w:p w14:paraId="676A8052" w14:textId="77777777" w:rsidR="003671C1" w:rsidRDefault="00D223EA">
            <w:pPr>
              <w:spacing w:line="276" w:lineRule="auto"/>
              <w:jc w:val="center"/>
            </w:pPr>
            <w:r>
              <w:t>T (</w:t>
            </w: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1734" w:type="dxa"/>
          </w:tcPr>
          <w:p w14:paraId="7BC9A918" w14:textId="77777777" w:rsidR="003671C1" w:rsidRDefault="00D223EA">
            <w:pPr>
              <w:spacing w:line="276" w:lineRule="auto"/>
              <w:jc w:val="center"/>
            </w:pPr>
            <w:r>
              <w:t>P (kPa)</w:t>
            </w:r>
          </w:p>
        </w:tc>
      </w:tr>
      <w:tr w:rsidR="003671C1" w14:paraId="4F8889BA" w14:textId="77777777">
        <w:tc>
          <w:tcPr>
            <w:tcW w:w="900" w:type="dxa"/>
          </w:tcPr>
          <w:p w14:paraId="11271561" w14:textId="77777777" w:rsidR="003671C1" w:rsidRDefault="00D223EA">
            <w:pPr>
              <w:spacing w:line="276" w:lineRule="auto"/>
              <w:jc w:val="center"/>
            </w:pPr>
            <w:r>
              <w:lastRenderedPageBreak/>
              <w:t>1–8</w:t>
            </w:r>
          </w:p>
        </w:tc>
        <w:tc>
          <w:tcPr>
            <w:tcW w:w="1260" w:type="dxa"/>
          </w:tcPr>
          <w:p w14:paraId="236BF46C" w14:textId="77777777" w:rsidR="003671C1" w:rsidRDefault="003671C1">
            <w:pPr>
              <w:spacing w:line="276" w:lineRule="auto"/>
              <w:jc w:val="center"/>
            </w:pPr>
          </w:p>
        </w:tc>
        <w:tc>
          <w:tcPr>
            <w:tcW w:w="1734" w:type="dxa"/>
          </w:tcPr>
          <w:p w14:paraId="7F8C96F7" w14:textId="77777777" w:rsidR="003671C1" w:rsidRDefault="003671C1">
            <w:pPr>
              <w:spacing w:line="276" w:lineRule="auto"/>
              <w:jc w:val="center"/>
            </w:pPr>
          </w:p>
        </w:tc>
      </w:tr>
    </w:tbl>
    <w:p w14:paraId="4418721F" w14:textId="77777777" w:rsidR="003671C1" w:rsidRDefault="003671C1"/>
    <w:p w14:paraId="78DEE906" w14:textId="77777777" w:rsidR="003671C1" w:rsidRDefault="00D223EA">
      <w:pPr>
        <w:numPr>
          <w:ilvl w:val="0"/>
          <w:numId w:val="9"/>
        </w:numPr>
        <w:ind w:left="360"/>
        <w:rPr>
          <w:u w:val="single"/>
        </w:rPr>
      </w:pPr>
      <w:r>
        <w:rPr>
          <w:b/>
          <w:u w:val="single"/>
        </w:rPr>
        <w:t>Materials:</w:t>
      </w:r>
    </w:p>
    <w:p w14:paraId="1A9E7C40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D115A79" w14:textId="77777777" w:rsidR="003671C1" w:rsidRDefault="00D223EA">
      <w:pPr>
        <w:numPr>
          <w:ilvl w:val="0"/>
          <w:numId w:val="10"/>
        </w:numPr>
      </w:pPr>
      <w:r>
        <w:t>Pressure Sensor</w:t>
      </w:r>
    </w:p>
    <w:p w14:paraId="2DC8A8C7" w14:textId="77777777" w:rsidR="003671C1" w:rsidRDefault="00D223EA">
      <w:pPr>
        <w:numPr>
          <w:ilvl w:val="0"/>
          <w:numId w:val="10"/>
        </w:numPr>
      </w:pPr>
      <w:r>
        <w:t>GLX Explorer</w:t>
      </w:r>
    </w:p>
    <w:p w14:paraId="05FFA573" w14:textId="77777777" w:rsidR="003671C1" w:rsidRDefault="00D223EA">
      <w:pPr>
        <w:numPr>
          <w:ilvl w:val="0"/>
          <w:numId w:val="10"/>
        </w:numPr>
      </w:pPr>
      <w:r>
        <w:t>Hot Plate</w:t>
      </w:r>
    </w:p>
    <w:p w14:paraId="3B7AE75F" w14:textId="77777777" w:rsidR="003671C1" w:rsidRDefault="00D223EA">
      <w:pPr>
        <w:numPr>
          <w:ilvl w:val="0"/>
          <w:numId w:val="10"/>
        </w:numPr>
      </w:pPr>
      <w:r>
        <w:t>Beaker</w:t>
      </w:r>
    </w:p>
    <w:p w14:paraId="750B02FF" w14:textId="77777777" w:rsidR="003671C1" w:rsidRDefault="00D223EA">
      <w:pPr>
        <w:numPr>
          <w:ilvl w:val="0"/>
          <w:numId w:val="10"/>
        </w:numPr>
      </w:pPr>
      <w:r>
        <w:t>Tube w/Syringe</w:t>
      </w:r>
    </w:p>
    <w:p w14:paraId="427EE886" w14:textId="77777777" w:rsidR="003671C1" w:rsidRDefault="00D223EA">
      <w:pPr>
        <w:numPr>
          <w:ilvl w:val="0"/>
          <w:numId w:val="10"/>
        </w:numPr>
      </w:pPr>
      <w:r>
        <w:t>Temperature Sensor</w:t>
      </w:r>
    </w:p>
    <w:p w14:paraId="19AB2823" w14:textId="77777777" w:rsidR="003671C1" w:rsidRDefault="00D223EA">
      <w:pPr>
        <w:numPr>
          <w:ilvl w:val="0"/>
          <w:numId w:val="10"/>
        </w:numPr>
      </w:pPr>
      <w:r>
        <w:t>Sample Container w/Tube</w:t>
      </w:r>
    </w:p>
    <w:p w14:paraId="562F76D1" w14:textId="77777777" w:rsidR="003671C1" w:rsidRDefault="00D223EA">
      <w:pPr>
        <w:numPr>
          <w:ilvl w:val="0"/>
          <w:numId w:val="10"/>
        </w:numPr>
      </w:pPr>
      <w:r>
        <w:t>Meter Stick</w:t>
      </w:r>
    </w:p>
    <w:p w14:paraId="75EE214A" w14:textId="77777777" w:rsidR="003671C1" w:rsidRDefault="003671C1"/>
    <w:p w14:paraId="4B800D44" w14:textId="77777777" w:rsidR="003671C1" w:rsidRDefault="00D223EA">
      <w:pPr>
        <w:numPr>
          <w:ilvl w:val="0"/>
          <w:numId w:val="4"/>
        </w:numPr>
        <w:ind w:left="360"/>
        <w:rPr>
          <w:u w:val="single"/>
        </w:rPr>
      </w:pPr>
      <w:r>
        <w:rPr>
          <w:b/>
          <w:u w:val="single"/>
        </w:rPr>
        <w:t xml:space="preserve">Procedures: </w:t>
      </w:r>
    </w:p>
    <w:p w14:paraId="0A89CD70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39AEC18" w14:textId="77777777" w:rsidR="003671C1" w:rsidRDefault="00D223EA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color w:val="000000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D8E6A4E" wp14:editId="5B9132E9">
            <wp:extent cx="4001770" cy="1567815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56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04D94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8D0015" w14:textId="77777777" w:rsidR="003671C1" w:rsidRDefault="00D223EA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B0928" wp14:editId="7B7B2EAD">
            <wp:extent cx="3586480" cy="152019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152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8ECE3" w14:textId="77777777" w:rsidR="003671C1" w:rsidRDefault="003671C1">
      <w:pPr>
        <w:ind w:left="720"/>
        <w:rPr>
          <w:sz w:val="28"/>
          <w:szCs w:val="28"/>
        </w:rPr>
      </w:pPr>
    </w:p>
    <w:p w14:paraId="52B49056" w14:textId="77777777" w:rsidR="003671C1" w:rsidRDefault="00D223EA">
      <w:pPr>
        <w:numPr>
          <w:ilvl w:val="0"/>
          <w:numId w:val="5"/>
        </w:numPr>
      </w:pPr>
      <w:r>
        <w:t xml:space="preserve">Measure the length of the tube w/syringe to calculate the tube volume using a meter stick. </w:t>
      </w:r>
    </w:p>
    <w:p w14:paraId="74122535" w14:textId="77777777" w:rsidR="003671C1" w:rsidRDefault="00D223EA">
      <w:pPr>
        <w:numPr>
          <w:ilvl w:val="0"/>
          <w:numId w:val="5"/>
        </w:numPr>
      </w:pPr>
      <w:r>
        <w:t>Connect GLX Explorer to the pressure sensor and that to the tube w/syringe.</w:t>
      </w:r>
    </w:p>
    <w:p w14:paraId="772A46A8" w14:textId="77777777" w:rsidR="003671C1" w:rsidRDefault="00D223EA">
      <w:pPr>
        <w:numPr>
          <w:ilvl w:val="0"/>
          <w:numId w:val="5"/>
        </w:numPr>
      </w:pPr>
      <w:r>
        <w:t>Begin the experiment by starting at 20mL on the syringe and collect the data using the GLX. Continue pushing pressure into the syringe every 2mL until you collect 8 data points</w:t>
      </w:r>
    </w:p>
    <w:p w14:paraId="2BE58428" w14:textId="77777777" w:rsidR="003671C1" w:rsidRDefault="00D223EA">
      <w:pPr>
        <w:numPr>
          <w:ilvl w:val="0"/>
          <w:numId w:val="5"/>
        </w:numPr>
      </w:pPr>
      <w:r>
        <w:t>Aft</w:t>
      </w:r>
      <w:r>
        <w:t>er this, begin the next experiment by placing your beaker on the hot plate. Then put water, the sample container w/tube, and the temperature sensor in the beaker.</w:t>
      </w:r>
    </w:p>
    <w:p w14:paraId="1F0BC661" w14:textId="77777777" w:rsidR="003671C1" w:rsidRDefault="00D223EA">
      <w:pPr>
        <w:numPr>
          <w:ilvl w:val="0"/>
          <w:numId w:val="5"/>
        </w:numPr>
      </w:pPr>
      <w:r>
        <w:t xml:space="preserve">Turn the hot plate on and set it to 540 ℃, then begin taking your first data point. </w:t>
      </w:r>
    </w:p>
    <w:p w14:paraId="21C63488" w14:textId="77777777" w:rsidR="003671C1" w:rsidRDefault="00D223EA">
      <w:pPr>
        <w:numPr>
          <w:ilvl w:val="0"/>
          <w:numId w:val="5"/>
        </w:numPr>
      </w:pPr>
      <w:r>
        <w:t>Continue</w:t>
      </w:r>
      <w:r>
        <w:t xml:space="preserve"> taking data points until 8 points are taken, then input all data information into Excel for data analysis. </w:t>
      </w:r>
    </w:p>
    <w:p w14:paraId="4BDA0F36" w14:textId="77777777" w:rsidR="003671C1" w:rsidRDefault="003671C1">
      <w:pPr>
        <w:rPr>
          <w:b/>
        </w:rPr>
      </w:pPr>
    </w:p>
    <w:p w14:paraId="0786613D" w14:textId="77777777" w:rsidR="003671C1" w:rsidRDefault="00D223EA">
      <w:pPr>
        <w:rPr>
          <w:b/>
        </w:rPr>
      </w:pPr>
      <w:r>
        <w:rPr>
          <w:b/>
        </w:rPr>
        <w:t>Equation being investigated:</w:t>
      </w:r>
    </w:p>
    <w:p w14:paraId="494D13BD" w14:textId="77777777" w:rsidR="003671C1" w:rsidRDefault="003671C1"/>
    <w:p w14:paraId="2CFB0471" w14:textId="77777777" w:rsidR="003671C1" w:rsidRDefault="00D223E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PV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nRT</m:t>
          </m:r>
        </m:oMath>
      </m:oMathPara>
    </w:p>
    <w:p w14:paraId="34E6212B" w14:textId="77777777" w:rsidR="003671C1" w:rsidRDefault="003671C1">
      <w:pPr>
        <w:rPr>
          <w:b/>
        </w:rPr>
      </w:pPr>
    </w:p>
    <w:p w14:paraId="7B933859" w14:textId="77777777" w:rsidR="003671C1" w:rsidRDefault="003671C1">
      <w:pPr>
        <w:rPr>
          <w:b/>
          <w:u w:val="single"/>
        </w:rPr>
      </w:pPr>
    </w:p>
    <w:p w14:paraId="59E5A458" w14:textId="77777777" w:rsidR="003671C1" w:rsidRDefault="00D223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Data:</w:t>
      </w:r>
    </w:p>
    <w:p w14:paraId="59DEA11A" w14:textId="77777777" w:rsidR="003671C1" w:rsidRDefault="003671C1"/>
    <w:p w14:paraId="4CD75A2E" w14:textId="77777777" w:rsidR="003671C1" w:rsidRDefault="00D223EA">
      <w:r>
        <w:rPr>
          <w:b/>
        </w:rPr>
        <w:t>A Controls: Gas constant (R); Number of moles (n, mol); Temperature = constant (T, °C); Tube Volume = 2.14 (mL</w:t>
      </w:r>
      <w:r>
        <w:t>)</w:t>
      </w:r>
    </w:p>
    <w:p w14:paraId="7CAB7A96" w14:textId="77777777" w:rsidR="003671C1" w:rsidRDefault="003671C1">
      <w:pPr>
        <w:ind w:left="720"/>
      </w:pPr>
    </w:p>
    <w:p w14:paraId="598AD190" w14:textId="77777777" w:rsidR="003671C1" w:rsidRDefault="003671C1">
      <w:pPr>
        <w:numPr>
          <w:ilvl w:val="0"/>
          <w:numId w:val="1"/>
        </w:numPr>
      </w:pPr>
    </w:p>
    <w:tbl>
      <w:tblPr>
        <w:tblStyle w:val="a1"/>
        <w:tblW w:w="5628" w:type="dxa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734"/>
        <w:gridCol w:w="1734"/>
      </w:tblGrid>
      <w:tr w:rsidR="003671C1" w14:paraId="66212AB6" w14:textId="77777777">
        <w:tc>
          <w:tcPr>
            <w:tcW w:w="900" w:type="dxa"/>
          </w:tcPr>
          <w:p w14:paraId="3D9671EE" w14:textId="77777777" w:rsidR="003671C1" w:rsidRDefault="00D223EA">
            <w:pPr>
              <w:spacing w:line="276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60" w:type="dxa"/>
          </w:tcPr>
          <w:p w14:paraId="4F9D9186" w14:textId="77777777" w:rsidR="003671C1" w:rsidRDefault="00D223EA">
            <w:pPr>
              <w:spacing w:line="276" w:lineRule="auto"/>
              <w:jc w:val="center"/>
            </w:pPr>
            <w:r>
              <w:t>V (mL)</w:t>
            </w:r>
          </w:p>
        </w:tc>
        <w:tc>
          <w:tcPr>
            <w:tcW w:w="1734" w:type="dxa"/>
          </w:tcPr>
          <w:p w14:paraId="6AE4A841" w14:textId="77777777" w:rsidR="003671C1" w:rsidRDefault="00D223EA">
            <w:pPr>
              <w:spacing w:line="276" w:lineRule="auto"/>
              <w:jc w:val="center"/>
            </w:pPr>
            <w:r>
              <w:t>V</w:t>
            </w:r>
            <w:r>
              <w:rPr>
                <w:vertAlign w:val="superscript"/>
              </w:rPr>
              <w:t>-1</w:t>
            </w:r>
            <w:r>
              <w:t xml:space="preserve"> (mL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734" w:type="dxa"/>
          </w:tcPr>
          <w:p w14:paraId="6117B900" w14:textId="77777777" w:rsidR="003671C1" w:rsidRDefault="00D223EA">
            <w:pPr>
              <w:spacing w:line="276" w:lineRule="auto"/>
              <w:jc w:val="center"/>
            </w:pPr>
            <w:r>
              <w:t>P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</w:tr>
      <w:tr w:rsidR="003671C1" w14:paraId="1297CF3F" w14:textId="77777777">
        <w:tc>
          <w:tcPr>
            <w:tcW w:w="900" w:type="dxa"/>
          </w:tcPr>
          <w:p w14:paraId="21706FAC" w14:textId="77777777" w:rsidR="003671C1" w:rsidRDefault="00D223E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78CE02" w14:textId="77777777" w:rsidR="003671C1" w:rsidRDefault="00D223EA">
            <w:pPr>
              <w:spacing w:line="276" w:lineRule="auto"/>
              <w:jc w:val="center"/>
            </w:pPr>
            <w:r>
              <w:t>22.1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84093B" w14:textId="77777777" w:rsidR="003671C1" w:rsidRDefault="00D223EA">
            <w:pPr>
              <w:spacing w:line="276" w:lineRule="auto"/>
              <w:jc w:val="center"/>
            </w:pPr>
            <w:r>
              <w:t>0.0450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62E27D" w14:textId="77777777" w:rsidR="003671C1" w:rsidRDefault="00D223EA">
            <w:pPr>
              <w:spacing w:line="276" w:lineRule="auto"/>
              <w:jc w:val="center"/>
            </w:pPr>
            <w:r>
              <w:t>97.0</w:t>
            </w:r>
          </w:p>
        </w:tc>
      </w:tr>
      <w:tr w:rsidR="003671C1" w14:paraId="188DCC4F" w14:textId="77777777">
        <w:tc>
          <w:tcPr>
            <w:tcW w:w="900" w:type="dxa"/>
          </w:tcPr>
          <w:p w14:paraId="64F664B3" w14:textId="77777777" w:rsidR="003671C1" w:rsidRDefault="00D223E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820570" w14:textId="77777777" w:rsidR="003671C1" w:rsidRDefault="00D223EA">
            <w:pPr>
              <w:spacing w:line="276" w:lineRule="auto"/>
              <w:jc w:val="center"/>
            </w:pPr>
            <w:r>
              <w:t>20.1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176E6F" w14:textId="77777777" w:rsidR="003671C1" w:rsidRDefault="00D223EA">
            <w:pPr>
              <w:spacing w:line="276" w:lineRule="auto"/>
              <w:jc w:val="center"/>
            </w:pPr>
            <w:r>
              <w:t>0.0500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F45C82" w14:textId="77777777" w:rsidR="003671C1" w:rsidRDefault="00D223EA">
            <w:pPr>
              <w:spacing w:line="276" w:lineRule="auto"/>
              <w:jc w:val="center"/>
            </w:pPr>
            <w:r>
              <w:t>107.0</w:t>
            </w:r>
          </w:p>
        </w:tc>
      </w:tr>
      <w:tr w:rsidR="003671C1" w14:paraId="2F7A3914" w14:textId="77777777">
        <w:tc>
          <w:tcPr>
            <w:tcW w:w="900" w:type="dxa"/>
          </w:tcPr>
          <w:p w14:paraId="12E3A787" w14:textId="77777777" w:rsidR="003671C1" w:rsidRDefault="00D223EA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9E9BB1" w14:textId="77777777" w:rsidR="003671C1" w:rsidRDefault="00D223EA">
            <w:pPr>
              <w:spacing w:line="276" w:lineRule="auto"/>
              <w:jc w:val="center"/>
            </w:pPr>
            <w:r>
              <w:t>18.1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C7B13D" w14:textId="77777777" w:rsidR="003671C1" w:rsidRDefault="00D223EA">
            <w:pPr>
              <w:spacing w:line="276" w:lineRule="auto"/>
              <w:jc w:val="center"/>
            </w:pPr>
            <w:r>
              <w:t>0.0550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E74621" w14:textId="77777777" w:rsidR="003671C1" w:rsidRDefault="00D223EA">
            <w:pPr>
              <w:spacing w:line="276" w:lineRule="auto"/>
              <w:jc w:val="center"/>
            </w:pPr>
            <w:r>
              <w:t>119.0</w:t>
            </w:r>
          </w:p>
        </w:tc>
      </w:tr>
      <w:tr w:rsidR="003671C1" w14:paraId="505AFB19" w14:textId="77777777">
        <w:tc>
          <w:tcPr>
            <w:tcW w:w="900" w:type="dxa"/>
          </w:tcPr>
          <w:p w14:paraId="7EEC8CFA" w14:textId="77777777" w:rsidR="003671C1" w:rsidRDefault="00D223E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E9556B" w14:textId="77777777" w:rsidR="003671C1" w:rsidRDefault="00D223EA">
            <w:pPr>
              <w:spacing w:line="276" w:lineRule="auto"/>
              <w:jc w:val="center"/>
            </w:pPr>
            <w:r>
              <w:t>16.1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7EDACA" w14:textId="77777777" w:rsidR="003671C1" w:rsidRDefault="00D223EA">
            <w:pPr>
              <w:spacing w:line="276" w:lineRule="auto"/>
              <w:jc w:val="center"/>
            </w:pPr>
            <w:r>
              <w:t>0.0620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9C46F5" w14:textId="77777777" w:rsidR="003671C1" w:rsidRDefault="00D223EA">
            <w:pPr>
              <w:spacing w:line="276" w:lineRule="auto"/>
              <w:jc w:val="center"/>
            </w:pPr>
            <w:r>
              <w:t>133.0</w:t>
            </w:r>
          </w:p>
        </w:tc>
      </w:tr>
      <w:tr w:rsidR="003671C1" w14:paraId="7F9D3164" w14:textId="77777777">
        <w:tc>
          <w:tcPr>
            <w:tcW w:w="900" w:type="dxa"/>
          </w:tcPr>
          <w:p w14:paraId="4D5FBC9B" w14:textId="77777777" w:rsidR="003671C1" w:rsidRDefault="00D223EA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D36DEF" w14:textId="77777777" w:rsidR="003671C1" w:rsidRDefault="00D223EA">
            <w:pPr>
              <w:spacing w:line="276" w:lineRule="auto"/>
              <w:jc w:val="center"/>
            </w:pPr>
            <w:r>
              <w:t>14.1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2D4BAF" w14:textId="77777777" w:rsidR="003671C1" w:rsidRDefault="00D223EA">
            <w:pPr>
              <w:spacing w:line="276" w:lineRule="auto"/>
              <w:jc w:val="center"/>
            </w:pPr>
            <w:r>
              <w:t>0.0710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BD34BF" w14:textId="77777777" w:rsidR="003671C1" w:rsidRDefault="00D223EA">
            <w:pPr>
              <w:spacing w:line="276" w:lineRule="auto"/>
              <w:jc w:val="center"/>
            </w:pPr>
            <w:r>
              <w:t>150.0</w:t>
            </w:r>
          </w:p>
        </w:tc>
      </w:tr>
      <w:tr w:rsidR="003671C1" w14:paraId="3B8B47A3" w14:textId="77777777">
        <w:tc>
          <w:tcPr>
            <w:tcW w:w="900" w:type="dxa"/>
          </w:tcPr>
          <w:p w14:paraId="4C7CB766" w14:textId="77777777" w:rsidR="003671C1" w:rsidRDefault="00D223E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949773" w14:textId="77777777" w:rsidR="003671C1" w:rsidRDefault="00D223EA">
            <w:pPr>
              <w:spacing w:line="276" w:lineRule="auto"/>
              <w:jc w:val="center"/>
            </w:pPr>
            <w:r>
              <w:t>12.1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82F6FC" w14:textId="77777777" w:rsidR="003671C1" w:rsidRDefault="00D223EA">
            <w:pPr>
              <w:spacing w:line="276" w:lineRule="auto"/>
              <w:jc w:val="center"/>
            </w:pPr>
            <w:r>
              <w:t>0.0820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4A0414" w14:textId="77777777" w:rsidR="003671C1" w:rsidRDefault="00D223EA">
            <w:pPr>
              <w:spacing w:line="276" w:lineRule="auto"/>
              <w:jc w:val="center"/>
            </w:pPr>
            <w:r>
              <w:t>172.0</w:t>
            </w:r>
          </w:p>
        </w:tc>
      </w:tr>
      <w:tr w:rsidR="003671C1" w14:paraId="682316D4" w14:textId="77777777">
        <w:tc>
          <w:tcPr>
            <w:tcW w:w="900" w:type="dxa"/>
          </w:tcPr>
          <w:p w14:paraId="6947FFEB" w14:textId="77777777" w:rsidR="003671C1" w:rsidRDefault="00D223EA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31D40F" w14:textId="77777777" w:rsidR="003671C1" w:rsidRDefault="00D223EA">
            <w:pPr>
              <w:spacing w:line="276" w:lineRule="auto"/>
              <w:jc w:val="center"/>
            </w:pPr>
            <w:r>
              <w:t>10.1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A0F654" w14:textId="77777777" w:rsidR="003671C1" w:rsidRDefault="00D223EA">
            <w:pPr>
              <w:spacing w:line="276" w:lineRule="auto"/>
              <w:jc w:val="center"/>
            </w:pPr>
            <w:r>
              <w:t>0.0990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16B4CE" w14:textId="77777777" w:rsidR="003671C1" w:rsidRDefault="00D223EA">
            <w:pPr>
              <w:spacing w:line="276" w:lineRule="auto"/>
              <w:jc w:val="center"/>
            </w:pPr>
            <w:r>
              <w:t>204.0</w:t>
            </w:r>
          </w:p>
        </w:tc>
      </w:tr>
      <w:tr w:rsidR="003671C1" w14:paraId="6A5A2A76" w14:textId="77777777">
        <w:tc>
          <w:tcPr>
            <w:tcW w:w="900" w:type="dxa"/>
          </w:tcPr>
          <w:p w14:paraId="252FB49C" w14:textId="77777777" w:rsidR="003671C1" w:rsidRDefault="00D223E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30863C" w14:textId="77777777" w:rsidR="003671C1" w:rsidRDefault="00D223EA">
            <w:pPr>
              <w:spacing w:line="276" w:lineRule="auto"/>
              <w:jc w:val="center"/>
            </w:pPr>
            <w:r>
              <w:t>8.1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9A832B" w14:textId="77777777" w:rsidR="003671C1" w:rsidRDefault="00D223EA">
            <w:pPr>
              <w:spacing w:line="276" w:lineRule="auto"/>
              <w:jc w:val="center"/>
            </w:pPr>
            <w:r>
              <w:t>0.123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A6B427" w14:textId="77777777" w:rsidR="003671C1" w:rsidRDefault="00D223EA">
            <w:pPr>
              <w:spacing w:line="276" w:lineRule="auto"/>
              <w:jc w:val="center"/>
            </w:pPr>
            <w:r>
              <w:t>246.0</w:t>
            </w:r>
          </w:p>
        </w:tc>
      </w:tr>
    </w:tbl>
    <w:p w14:paraId="201BD918" w14:textId="77777777" w:rsidR="003671C1" w:rsidRDefault="003671C1">
      <w:pPr>
        <w:rPr>
          <w:b/>
        </w:rPr>
      </w:pPr>
    </w:p>
    <w:p w14:paraId="67643A98" w14:textId="77777777" w:rsidR="003671C1" w:rsidRDefault="003671C1">
      <w:pPr>
        <w:rPr>
          <w:b/>
        </w:rPr>
      </w:pPr>
    </w:p>
    <w:p w14:paraId="0B28C0FF" w14:textId="77777777" w:rsidR="003671C1" w:rsidRDefault="00D223EA">
      <w:pPr>
        <w:rPr>
          <w:b/>
        </w:rPr>
      </w:pPr>
      <w:r>
        <w:rPr>
          <w:b/>
        </w:rPr>
        <w:t>B Controls: Gas constant (R); Number of moles (n, mol); Volume = constant (V, ml)</w:t>
      </w:r>
    </w:p>
    <w:p w14:paraId="3580C011" w14:textId="77777777" w:rsidR="003671C1" w:rsidRDefault="003671C1">
      <w:pPr>
        <w:rPr>
          <w:b/>
        </w:rPr>
      </w:pPr>
    </w:p>
    <w:p w14:paraId="27552651" w14:textId="77777777" w:rsidR="003671C1" w:rsidRDefault="003671C1">
      <w:pPr>
        <w:numPr>
          <w:ilvl w:val="0"/>
          <w:numId w:val="1"/>
        </w:numPr>
      </w:pPr>
    </w:p>
    <w:tbl>
      <w:tblPr>
        <w:tblStyle w:val="a2"/>
        <w:tblW w:w="3894" w:type="dxa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1734"/>
      </w:tblGrid>
      <w:tr w:rsidR="003671C1" w14:paraId="3C275171" w14:textId="77777777">
        <w:tc>
          <w:tcPr>
            <w:tcW w:w="900" w:type="dxa"/>
          </w:tcPr>
          <w:p w14:paraId="08ABB89D" w14:textId="77777777" w:rsidR="003671C1" w:rsidRDefault="00D223EA">
            <w:pPr>
              <w:spacing w:line="276" w:lineRule="auto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60" w:type="dxa"/>
          </w:tcPr>
          <w:p w14:paraId="3ED60194" w14:textId="77777777" w:rsidR="003671C1" w:rsidRDefault="00D223EA">
            <w:pPr>
              <w:spacing w:line="276" w:lineRule="auto"/>
              <w:jc w:val="center"/>
            </w:pPr>
            <w:r>
              <w:t>T (</w:t>
            </w: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1734" w:type="dxa"/>
          </w:tcPr>
          <w:p w14:paraId="33075A7E" w14:textId="77777777" w:rsidR="003671C1" w:rsidRDefault="00D223EA">
            <w:pPr>
              <w:spacing w:line="276" w:lineRule="auto"/>
              <w:jc w:val="center"/>
            </w:pPr>
            <w:r>
              <w:t>P (kPa)</w:t>
            </w:r>
          </w:p>
        </w:tc>
      </w:tr>
      <w:tr w:rsidR="003671C1" w14:paraId="1782A422" w14:textId="77777777">
        <w:tc>
          <w:tcPr>
            <w:tcW w:w="900" w:type="dxa"/>
          </w:tcPr>
          <w:p w14:paraId="4B6C2255" w14:textId="77777777" w:rsidR="003671C1" w:rsidRDefault="00D223E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6DFF42" w14:textId="77777777" w:rsidR="003671C1" w:rsidRDefault="00D223EA">
            <w:pPr>
              <w:spacing w:line="276" w:lineRule="auto"/>
              <w:jc w:val="center"/>
            </w:pPr>
            <w:r>
              <w:t>22.7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E63B6E" w14:textId="77777777" w:rsidR="003671C1" w:rsidRDefault="00D223EA">
            <w:pPr>
              <w:spacing w:line="276" w:lineRule="auto"/>
              <w:jc w:val="center"/>
            </w:pPr>
            <w:r>
              <w:t>96.0</w:t>
            </w:r>
          </w:p>
        </w:tc>
      </w:tr>
      <w:tr w:rsidR="003671C1" w14:paraId="5D76A82D" w14:textId="77777777">
        <w:tc>
          <w:tcPr>
            <w:tcW w:w="900" w:type="dxa"/>
          </w:tcPr>
          <w:p w14:paraId="09DF7689" w14:textId="77777777" w:rsidR="003671C1" w:rsidRDefault="00D223E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D31280" w14:textId="77777777" w:rsidR="003671C1" w:rsidRDefault="00D223EA">
            <w:pPr>
              <w:spacing w:line="276" w:lineRule="auto"/>
              <w:jc w:val="center"/>
            </w:pPr>
            <w:r>
              <w:t>27.7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79A333" w14:textId="77777777" w:rsidR="003671C1" w:rsidRDefault="00D223EA">
            <w:pPr>
              <w:spacing w:line="276" w:lineRule="auto"/>
              <w:jc w:val="center"/>
            </w:pPr>
            <w:r>
              <w:t>98.0</w:t>
            </w:r>
          </w:p>
        </w:tc>
      </w:tr>
      <w:tr w:rsidR="003671C1" w14:paraId="4D63217F" w14:textId="77777777">
        <w:tc>
          <w:tcPr>
            <w:tcW w:w="900" w:type="dxa"/>
          </w:tcPr>
          <w:p w14:paraId="2C1EBF95" w14:textId="77777777" w:rsidR="003671C1" w:rsidRDefault="00D223EA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A88CEC" w14:textId="77777777" w:rsidR="003671C1" w:rsidRDefault="00D223EA">
            <w:pPr>
              <w:spacing w:line="276" w:lineRule="auto"/>
              <w:jc w:val="center"/>
            </w:pPr>
            <w:r>
              <w:t>32.7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3312C1" w14:textId="77777777" w:rsidR="003671C1" w:rsidRDefault="00D223EA">
            <w:pPr>
              <w:spacing w:line="276" w:lineRule="auto"/>
              <w:jc w:val="center"/>
            </w:pPr>
            <w:r>
              <w:t>100.0</w:t>
            </w:r>
          </w:p>
        </w:tc>
      </w:tr>
      <w:tr w:rsidR="003671C1" w14:paraId="0E8D07FF" w14:textId="77777777">
        <w:tc>
          <w:tcPr>
            <w:tcW w:w="900" w:type="dxa"/>
          </w:tcPr>
          <w:p w14:paraId="6F08E57E" w14:textId="77777777" w:rsidR="003671C1" w:rsidRDefault="00D223EA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59033E" w14:textId="77777777" w:rsidR="003671C1" w:rsidRDefault="00D223EA">
            <w:pPr>
              <w:spacing w:line="276" w:lineRule="auto"/>
              <w:jc w:val="center"/>
            </w:pPr>
            <w:r>
              <w:t>37.7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DE2DBA" w14:textId="77777777" w:rsidR="003671C1" w:rsidRDefault="00D223EA">
            <w:pPr>
              <w:spacing w:line="276" w:lineRule="auto"/>
              <w:jc w:val="center"/>
            </w:pPr>
            <w:r>
              <w:t>101.0</w:t>
            </w:r>
          </w:p>
        </w:tc>
      </w:tr>
      <w:tr w:rsidR="003671C1" w14:paraId="0433A522" w14:textId="77777777">
        <w:tc>
          <w:tcPr>
            <w:tcW w:w="900" w:type="dxa"/>
          </w:tcPr>
          <w:p w14:paraId="537889CB" w14:textId="77777777" w:rsidR="003671C1" w:rsidRDefault="00D223EA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4B0783" w14:textId="77777777" w:rsidR="003671C1" w:rsidRDefault="00D223EA">
            <w:pPr>
              <w:spacing w:line="276" w:lineRule="auto"/>
              <w:jc w:val="center"/>
            </w:pPr>
            <w:r>
              <w:t>42.7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6C1378" w14:textId="77777777" w:rsidR="003671C1" w:rsidRDefault="00D223EA">
            <w:pPr>
              <w:spacing w:line="276" w:lineRule="auto"/>
              <w:jc w:val="center"/>
            </w:pPr>
            <w:r>
              <w:t>103.0</w:t>
            </w:r>
          </w:p>
        </w:tc>
      </w:tr>
      <w:tr w:rsidR="003671C1" w14:paraId="7F5C2A8F" w14:textId="77777777">
        <w:tc>
          <w:tcPr>
            <w:tcW w:w="900" w:type="dxa"/>
          </w:tcPr>
          <w:p w14:paraId="4C52C837" w14:textId="77777777" w:rsidR="003671C1" w:rsidRDefault="00D223EA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7CF08" w14:textId="77777777" w:rsidR="003671C1" w:rsidRDefault="00D223EA">
            <w:pPr>
              <w:spacing w:line="276" w:lineRule="auto"/>
              <w:jc w:val="center"/>
            </w:pPr>
            <w:r>
              <w:t>47.7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2E32B5" w14:textId="77777777" w:rsidR="003671C1" w:rsidRDefault="00D223EA">
            <w:pPr>
              <w:spacing w:line="276" w:lineRule="auto"/>
              <w:jc w:val="center"/>
            </w:pPr>
            <w:r>
              <w:t>104.0</w:t>
            </w:r>
          </w:p>
        </w:tc>
      </w:tr>
      <w:tr w:rsidR="003671C1" w14:paraId="02942D27" w14:textId="77777777">
        <w:tc>
          <w:tcPr>
            <w:tcW w:w="900" w:type="dxa"/>
          </w:tcPr>
          <w:p w14:paraId="0DD9A3DE" w14:textId="77777777" w:rsidR="003671C1" w:rsidRDefault="00D223EA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702F1F" w14:textId="77777777" w:rsidR="003671C1" w:rsidRDefault="00D223EA">
            <w:pPr>
              <w:spacing w:line="276" w:lineRule="auto"/>
              <w:jc w:val="center"/>
            </w:pPr>
            <w:r>
              <w:t>52.7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CCB04B" w14:textId="77777777" w:rsidR="003671C1" w:rsidRDefault="00D223EA">
            <w:pPr>
              <w:spacing w:line="276" w:lineRule="auto"/>
              <w:jc w:val="center"/>
            </w:pPr>
            <w:r>
              <w:t>106.0</w:t>
            </w:r>
          </w:p>
        </w:tc>
      </w:tr>
      <w:tr w:rsidR="003671C1" w14:paraId="75B1BDA1" w14:textId="77777777">
        <w:tc>
          <w:tcPr>
            <w:tcW w:w="900" w:type="dxa"/>
          </w:tcPr>
          <w:p w14:paraId="0994E70C" w14:textId="77777777" w:rsidR="003671C1" w:rsidRDefault="00D223EA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26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705B7A" w14:textId="77777777" w:rsidR="003671C1" w:rsidRDefault="00D223EA">
            <w:pPr>
              <w:spacing w:line="276" w:lineRule="auto"/>
              <w:jc w:val="center"/>
            </w:pPr>
            <w:r>
              <w:t>57.7</w:t>
            </w:r>
          </w:p>
        </w:tc>
        <w:tc>
          <w:tcPr>
            <w:tcW w:w="1734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7236EB" w14:textId="77777777" w:rsidR="003671C1" w:rsidRDefault="00D223EA">
            <w:pPr>
              <w:spacing w:line="276" w:lineRule="auto"/>
              <w:jc w:val="center"/>
            </w:pPr>
            <w:r>
              <w:t>107.0</w:t>
            </w:r>
          </w:p>
        </w:tc>
      </w:tr>
    </w:tbl>
    <w:p w14:paraId="3EC4D35B" w14:textId="77777777" w:rsidR="003671C1" w:rsidRDefault="00D223EA">
      <w:pPr>
        <w:rPr>
          <w:b/>
          <w:u w:val="single"/>
        </w:rPr>
      </w:pPr>
      <w:r>
        <w:rPr>
          <w:b/>
          <w:u w:val="single"/>
        </w:rPr>
        <w:lastRenderedPageBreak/>
        <w:t xml:space="preserve">Analysis: </w:t>
      </w:r>
    </w:p>
    <w:p w14:paraId="1FED2C4B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</w:pPr>
    </w:p>
    <w:p w14:paraId="68C8F1BD" w14:textId="77777777" w:rsidR="003671C1" w:rsidRDefault="00D223EA">
      <w:pPr>
        <w:pBdr>
          <w:top w:val="nil"/>
          <w:left w:val="nil"/>
          <w:bottom w:val="nil"/>
          <w:right w:val="nil"/>
          <w:between w:val="nil"/>
        </w:pBdr>
      </w:pPr>
      <w:r>
        <w:t>Part A:</w:t>
      </w:r>
    </w:p>
    <w:p w14:paraId="7FEEDE36" w14:textId="77777777" w:rsidR="003671C1" w:rsidRDefault="00D223E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3FBA9976" wp14:editId="749E0C05">
            <wp:extent cx="4433888" cy="2817164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817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FB5CE" w14:textId="77777777" w:rsidR="003671C1" w:rsidRDefault="00D223E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6E4018F2" wp14:editId="2C09E2F1">
            <wp:extent cx="4462463" cy="2721717"/>
            <wp:effectExtent l="0" t="0" r="0" b="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721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E60CE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</w:pPr>
    </w:p>
    <w:p w14:paraId="0B545E76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</w:pPr>
    </w:p>
    <w:p w14:paraId="3EB87B02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</w:pPr>
    </w:p>
    <w:p w14:paraId="4653CC29" w14:textId="77777777" w:rsidR="003671C1" w:rsidRDefault="00D223EA">
      <w:pPr>
        <w:pBdr>
          <w:top w:val="nil"/>
          <w:left w:val="nil"/>
          <w:bottom w:val="nil"/>
          <w:right w:val="nil"/>
          <w:between w:val="nil"/>
        </w:pBdr>
      </w:pPr>
      <w:r>
        <w:t>Part B:</w:t>
      </w:r>
    </w:p>
    <w:p w14:paraId="17CC2D8B" w14:textId="77777777" w:rsidR="003671C1" w:rsidRDefault="00D223E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br/>
      </w:r>
      <w:r>
        <w:rPr>
          <w:noProof/>
        </w:rPr>
        <w:drawing>
          <wp:inline distT="114300" distB="114300" distL="114300" distR="114300" wp14:anchorId="1254081A" wp14:editId="3CC78B09">
            <wp:extent cx="4433264" cy="2890838"/>
            <wp:effectExtent l="0" t="0" r="0" b="0"/>
            <wp:docPr id="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264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BEF83" w14:textId="77777777" w:rsidR="003671C1" w:rsidRDefault="003671C1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2202909" w14:textId="77777777" w:rsidR="003671C1" w:rsidRDefault="003671C1"/>
    <w:p w14:paraId="56D3442A" w14:textId="77777777" w:rsidR="003671C1" w:rsidRPr="00E50A44" w:rsidRDefault="00D223EA">
      <w:pPr>
        <w:rPr>
          <w:b/>
          <w:sz w:val="28"/>
          <w:szCs w:val="28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1EAEFE1" w14:textId="77777777" w:rsidR="003671C1" w:rsidRDefault="003671C1">
      <w:pPr>
        <w:rPr>
          <w:b/>
          <w:sz w:val="28"/>
          <w:szCs w:val="28"/>
          <w:u w:val="single"/>
        </w:rPr>
      </w:pPr>
    </w:p>
    <w:p w14:paraId="2D013E71" w14:textId="77777777" w:rsidR="003671C1" w:rsidRDefault="00D223EA">
      <w:pPr>
        <w:rPr>
          <w:b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= </m:t>
        </m:r>
      </m:oMath>
      <w:r>
        <w:rPr>
          <w:sz w:val="28"/>
          <w:szCs w:val="28"/>
        </w:rPr>
        <w:t xml:space="preserve"> 0.929</w:t>
      </w:r>
    </w:p>
    <w:p w14:paraId="23C53545" w14:textId="77777777" w:rsidR="003671C1" w:rsidRDefault="003671C1">
      <w:pPr>
        <w:rPr>
          <w:b/>
          <w:sz w:val="28"/>
          <w:szCs w:val="28"/>
          <w:u w:val="single"/>
        </w:rPr>
      </w:pPr>
    </w:p>
    <w:p w14:paraId="5F9955BB" w14:textId="77777777" w:rsidR="003671C1" w:rsidRDefault="00D223EA">
      <w:pPr>
        <w:rPr>
          <w:b/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%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Error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1.0-0.929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1.0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⋅100=7.1% </m:t>
        </m:r>
      </m:oMath>
      <w:r>
        <w:rPr>
          <w:sz w:val="28"/>
          <w:szCs w:val="28"/>
        </w:rPr>
        <w:t xml:space="preserve"> </w:t>
      </w:r>
    </w:p>
    <w:p w14:paraId="187AD395" w14:textId="77777777" w:rsidR="003671C1" w:rsidRDefault="003671C1">
      <w:pPr>
        <w:rPr>
          <w:b/>
          <w:sz w:val="28"/>
          <w:szCs w:val="28"/>
          <w:u w:val="single"/>
        </w:rPr>
      </w:pPr>
    </w:p>
    <w:p w14:paraId="3B13BD24" w14:textId="77777777" w:rsidR="003671C1" w:rsidRPr="00E50A44" w:rsidRDefault="00D223EA">
      <w:pPr>
        <w:rPr>
          <w:b/>
          <w:sz w:val="28"/>
          <w:szCs w:val="28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-273℃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F4BE8E3" w14:textId="77777777" w:rsidR="003671C1" w:rsidRDefault="003671C1">
      <w:pPr>
        <w:rPr>
          <w:sz w:val="28"/>
          <w:szCs w:val="28"/>
        </w:rPr>
      </w:pPr>
    </w:p>
    <w:p w14:paraId="1E32525D" w14:textId="77777777" w:rsidR="003671C1" w:rsidRDefault="00D223EA">
      <w:p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 -(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)=-286℃</m:t>
        </m:r>
      </m:oMath>
      <w:r>
        <w:rPr>
          <w:sz w:val="28"/>
          <w:szCs w:val="28"/>
        </w:rPr>
        <w:t xml:space="preserve"> </w:t>
      </w:r>
    </w:p>
    <w:p w14:paraId="0B8E840B" w14:textId="77777777" w:rsidR="003671C1" w:rsidRDefault="003671C1">
      <w:pPr>
        <w:rPr>
          <w:sz w:val="28"/>
          <w:szCs w:val="28"/>
        </w:rPr>
      </w:pPr>
    </w:p>
    <w:p w14:paraId="756C4DB2" w14:textId="77777777" w:rsidR="003671C1" w:rsidRPr="00E50A44" w:rsidRDefault="00D223EA">
      <w:pPr>
        <w:rPr>
          <w:b/>
          <w:sz w:val="28"/>
          <w:szCs w:val="28"/>
          <w:u w:val="singl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%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Erro</m:t>
          </m:r>
          <m:sSub>
            <m:sSub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/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-273-(-286)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-273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⋅100=4.76%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6ED8C3D" w14:textId="77777777" w:rsidR="003671C1" w:rsidRDefault="003671C1"/>
    <w:p w14:paraId="7229F39F" w14:textId="77777777" w:rsidR="003671C1" w:rsidRDefault="003671C1"/>
    <w:p w14:paraId="4E741771" w14:textId="77777777" w:rsidR="003671C1" w:rsidRDefault="003671C1"/>
    <w:p w14:paraId="56B42D7B" w14:textId="77777777" w:rsidR="003671C1" w:rsidRDefault="003671C1"/>
    <w:p w14:paraId="5941A2F2" w14:textId="77777777" w:rsidR="003671C1" w:rsidRDefault="003671C1"/>
    <w:p w14:paraId="461500E5" w14:textId="77777777" w:rsidR="003671C1" w:rsidRDefault="003671C1"/>
    <w:p w14:paraId="2ED02902" w14:textId="77777777" w:rsidR="003671C1" w:rsidRDefault="003671C1"/>
    <w:p w14:paraId="02C20713" w14:textId="77777777" w:rsidR="003671C1" w:rsidRDefault="00D223EA">
      <w:pPr>
        <w:numPr>
          <w:ilvl w:val="0"/>
          <w:numId w:val="4"/>
        </w:numPr>
        <w:ind w:left="360"/>
        <w:rPr>
          <w:b/>
          <w:u w:val="single"/>
        </w:rPr>
      </w:pPr>
      <w:r>
        <w:rPr>
          <w:b/>
          <w:u w:val="single"/>
        </w:rPr>
        <w:t xml:space="preserve">Conclusion: </w:t>
      </w:r>
    </w:p>
    <w:p w14:paraId="6896131B" w14:textId="77777777" w:rsidR="003671C1" w:rsidRDefault="003671C1">
      <w:pPr>
        <w:ind w:left="720"/>
      </w:pPr>
    </w:p>
    <w:p w14:paraId="6067DD48" w14:textId="77777777" w:rsidR="003671C1" w:rsidRDefault="00D2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Pressure (P, kPa) was found to be linear to the inverse of volume (V, ml) as shown by our found equation: P = 1740(1/V)</w:t>
      </w:r>
      <w:r>
        <w:rPr>
          <w:vertAlign w:val="superscript"/>
        </w:rPr>
        <w:t>0.929</w:t>
      </w:r>
    </w:p>
    <w:p w14:paraId="0BA10846" w14:textId="77777777" w:rsidR="003671C1" w:rsidRDefault="003671C1">
      <w:pPr>
        <w:ind w:left="720"/>
      </w:pPr>
    </w:p>
    <w:p w14:paraId="3BC7153C" w14:textId="77777777" w:rsidR="003671C1" w:rsidRDefault="00D223E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Pressure (P, kPa) was found to be linear to temperature (T, °C) as shown by our found equation: P = 0.312T + 89.3.</w:t>
      </w:r>
    </w:p>
    <w:p w14:paraId="5F86744A" w14:textId="77777777" w:rsidR="003671C1" w:rsidRDefault="003671C1"/>
    <w:p w14:paraId="44281E63" w14:textId="77777777" w:rsidR="003671C1" w:rsidRDefault="00D223EA">
      <w:pPr>
        <w:numPr>
          <w:ilvl w:val="0"/>
          <w:numId w:val="4"/>
        </w:numPr>
        <w:ind w:left="360"/>
        <w:rPr>
          <w:b/>
          <w:u w:val="single"/>
        </w:rPr>
      </w:pPr>
      <w:r>
        <w:rPr>
          <w:b/>
          <w:u w:val="single"/>
        </w:rPr>
        <w:t>Evaluation:</w:t>
      </w:r>
    </w:p>
    <w:p w14:paraId="52229E32" w14:textId="77777777" w:rsidR="003671C1" w:rsidRDefault="003671C1">
      <w:pPr>
        <w:ind w:left="720"/>
      </w:pPr>
    </w:p>
    <w:p w14:paraId="7BBDDEC8" w14:textId="77777777" w:rsidR="00FB28BA" w:rsidRDefault="00D223EA" w:rsidP="00FB28BA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>O</w:t>
      </w:r>
      <w:r>
        <w:t xml:space="preserve">ur hypothesis was supported by our findings. We found that as volume increased, pressure decreased, and that as temperature increased, so did pressure. </w:t>
      </w:r>
      <w:r w:rsidR="00640234">
        <w:t>For part A, t</w:t>
      </w:r>
      <w:r w:rsidR="00E50A44">
        <w:t xml:space="preserve">his is </w:t>
      </w:r>
      <w:r w:rsidR="00E50A44">
        <w:t xml:space="preserve">because </w:t>
      </w:r>
      <w:r w:rsidR="00E50A44">
        <w:t xml:space="preserve">the </w:t>
      </w:r>
      <w:r w:rsidR="00E50A44">
        <w:t>molecules have more space</w:t>
      </w:r>
      <w:r w:rsidR="00E50A44">
        <w:t xml:space="preserve"> to move</w:t>
      </w:r>
      <w:r w:rsidR="00E50A44">
        <w:t>.</w:t>
      </w:r>
      <w:r w:rsidR="00640234">
        <w:t xml:space="preserve"> For part B, this is </w:t>
      </w:r>
      <w:r w:rsidR="00640234">
        <w:t>due to the molecules becoming more excited.</w:t>
      </w:r>
      <w:r w:rsidR="00640234">
        <w:t xml:space="preserve"> </w:t>
      </w:r>
    </w:p>
    <w:p w14:paraId="4F5169BD" w14:textId="77777777" w:rsidR="00FB28BA" w:rsidRDefault="00640234" w:rsidP="00FB28BA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 xml:space="preserve">Our percent of accuracy was good, with part A being 7.10% and part B being 4.76%. We did not run into much systematic error, but some sources of it could include starting without neutral pressure in the syringe for part A, and for part B it could be letting the temperature gauge touch the bottom of the glass. </w:t>
      </w:r>
    </w:p>
    <w:p w14:paraId="3668EDA9" w14:textId="3E188FCC" w:rsidR="00E50A44" w:rsidRPr="00640234" w:rsidRDefault="00640234" w:rsidP="00FB28BA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t>Our R</w:t>
      </w:r>
      <w:r>
        <w:rPr>
          <w:vertAlign w:val="subscript"/>
        </w:rPr>
        <w:t>2</w:t>
      </w:r>
      <w:r>
        <w:t xml:space="preserve"> values were good, being 1.00 and 0.993 for parts A and B respectively.</w:t>
      </w:r>
      <w:r w:rsidR="00FB28BA">
        <w:t xml:space="preserve"> We as a group did not have much random error, but some sources could be skipping a measurement point on the syringe for part A, and misreading a measurement of temperature on part B.</w:t>
      </w:r>
    </w:p>
    <w:p w14:paraId="29DC2544" w14:textId="77777777" w:rsidR="003671C1" w:rsidRDefault="003671C1"/>
    <w:sectPr w:rsidR="003671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CACE" w14:textId="77777777" w:rsidR="00D223EA" w:rsidRDefault="00D223EA">
      <w:r>
        <w:separator/>
      </w:r>
    </w:p>
  </w:endnote>
  <w:endnote w:type="continuationSeparator" w:id="0">
    <w:p w14:paraId="5CCC4C65" w14:textId="77777777" w:rsidR="00D223EA" w:rsidRDefault="00D2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EF5F" w14:textId="77777777" w:rsidR="003671C1" w:rsidRDefault="00D223EA">
    <w:pPr>
      <w:jc w:val="center"/>
    </w:pPr>
    <w:r>
      <w:t>© 2016. Grand Canyon University. All Rights Reserved.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A082A" w14:textId="77777777" w:rsidR="00D223EA" w:rsidRDefault="00D223EA">
      <w:r>
        <w:separator/>
      </w:r>
    </w:p>
  </w:footnote>
  <w:footnote w:type="continuationSeparator" w:id="0">
    <w:p w14:paraId="12F84AAE" w14:textId="77777777" w:rsidR="00D223EA" w:rsidRDefault="00D22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2EAD5" w14:textId="77777777" w:rsidR="003671C1" w:rsidRDefault="00D22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C881F3B" wp14:editId="1D22F6BF">
          <wp:extent cx="2292608" cy="515540"/>
          <wp:effectExtent l="0" t="0" r="0" b="0"/>
          <wp:docPr id="3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2608" cy="515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6D7A547" w14:textId="77777777" w:rsidR="003671C1" w:rsidRDefault="003671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93B"/>
    <w:multiLevelType w:val="multilevel"/>
    <w:tmpl w:val="312A86C8"/>
    <w:lvl w:ilvl="0">
      <w:start w:val="1"/>
      <w:numFmt w:val="upperLetter"/>
      <w:lvlText w:val="%1."/>
      <w:lvlJc w:val="left"/>
      <w:pPr>
        <w:ind w:left="14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6" w:hanging="360"/>
      </w:pPr>
    </w:lvl>
    <w:lvl w:ilvl="2">
      <w:start w:val="1"/>
      <w:numFmt w:val="lowerRoman"/>
      <w:lvlText w:val="%3."/>
      <w:lvlJc w:val="right"/>
      <w:pPr>
        <w:ind w:left="2886" w:hanging="180"/>
      </w:pPr>
    </w:lvl>
    <w:lvl w:ilvl="3">
      <w:start w:val="1"/>
      <w:numFmt w:val="decimal"/>
      <w:lvlText w:val="%4."/>
      <w:lvlJc w:val="left"/>
      <w:pPr>
        <w:ind w:left="3606" w:hanging="360"/>
      </w:pPr>
    </w:lvl>
    <w:lvl w:ilvl="4">
      <w:start w:val="1"/>
      <w:numFmt w:val="lowerLetter"/>
      <w:lvlText w:val="%5."/>
      <w:lvlJc w:val="left"/>
      <w:pPr>
        <w:ind w:left="4326" w:hanging="360"/>
      </w:pPr>
    </w:lvl>
    <w:lvl w:ilvl="5">
      <w:start w:val="1"/>
      <w:numFmt w:val="lowerRoman"/>
      <w:lvlText w:val="%6."/>
      <w:lvlJc w:val="right"/>
      <w:pPr>
        <w:ind w:left="5046" w:hanging="180"/>
      </w:pPr>
    </w:lvl>
    <w:lvl w:ilvl="6">
      <w:start w:val="1"/>
      <w:numFmt w:val="decimal"/>
      <w:lvlText w:val="%7."/>
      <w:lvlJc w:val="left"/>
      <w:pPr>
        <w:ind w:left="5766" w:hanging="360"/>
      </w:pPr>
    </w:lvl>
    <w:lvl w:ilvl="7">
      <w:start w:val="1"/>
      <w:numFmt w:val="lowerLetter"/>
      <w:lvlText w:val="%8."/>
      <w:lvlJc w:val="left"/>
      <w:pPr>
        <w:ind w:left="6486" w:hanging="360"/>
      </w:pPr>
    </w:lvl>
    <w:lvl w:ilvl="8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5287115"/>
    <w:multiLevelType w:val="multilevel"/>
    <w:tmpl w:val="FBE2B70E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30CBA"/>
    <w:multiLevelType w:val="multilevel"/>
    <w:tmpl w:val="D9341BD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2141F"/>
    <w:multiLevelType w:val="multilevel"/>
    <w:tmpl w:val="413AD770"/>
    <w:lvl w:ilvl="0">
      <w:start w:val="6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1683"/>
    <w:multiLevelType w:val="multilevel"/>
    <w:tmpl w:val="992A8C2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AB2A4A"/>
    <w:multiLevelType w:val="multilevel"/>
    <w:tmpl w:val="FD483860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22C9F"/>
    <w:multiLevelType w:val="multilevel"/>
    <w:tmpl w:val="00E6E952"/>
    <w:lvl w:ilvl="0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5A0C39"/>
    <w:multiLevelType w:val="multilevel"/>
    <w:tmpl w:val="27682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3A16C3"/>
    <w:multiLevelType w:val="multilevel"/>
    <w:tmpl w:val="FBD256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096F3F"/>
    <w:multiLevelType w:val="multilevel"/>
    <w:tmpl w:val="228261D6"/>
    <w:lvl w:ilvl="0">
      <w:start w:val="1"/>
      <w:numFmt w:val="upperLetter"/>
      <w:pStyle w:val="GrandCanyonNumberedList"/>
      <w:lvlText w:val="%1."/>
      <w:lvlJc w:val="left"/>
      <w:pPr>
        <w:ind w:left="144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073FF"/>
    <w:multiLevelType w:val="multilevel"/>
    <w:tmpl w:val="A9BAE5C4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9B4847"/>
    <w:multiLevelType w:val="multilevel"/>
    <w:tmpl w:val="1EA06A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23D6355"/>
    <w:multiLevelType w:val="multilevel"/>
    <w:tmpl w:val="215E61D6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D9244E"/>
    <w:multiLevelType w:val="multilevel"/>
    <w:tmpl w:val="FD483860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11"/>
  </w:num>
  <w:num w:numId="9">
    <w:abstractNumId w:val="2"/>
  </w:num>
  <w:num w:numId="10">
    <w:abstractNumId w:val="8"/>
  </w:num>
  <w:num w:numId="11">
    <w:abstractNumId w:val="1"/>
  </w:num>
  <w:num w:numId="12">
    <w:abstractNumId w:val="4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C1"/>
    <w:rsid w:val="003671C1"/>
    <w:rsid w:val="00640234"/>
    <w:rsid w:val="00D223EA"/>
    <w:rsid w:val="00E50A44"/>
    <w:rsid w:val="00FB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AC3A"/>
  <w15:docId w15:val="{8E99458F-C76B-46B9-A66F-1DF2F956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166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ndCanyonNumberedList">
    <w:name w:val="Grand Canyon Numbered List"/>
    <w:basedOn w:val="Normal"/>
    <w:rsid w:val="002E1B32"/>
    <w:pPr>
      <w:numPr>
        <w:numId w:val="6"/>
      </w:numPr>
    </w:pPr>
  </w:style>
  <w:style w:type="paragraph" w:styleId="BalloonText">
    <w:name w:val="Balloon Text"/>
    <w:basedOn w:val="Normal"/>
    <w:semiHidden/>
    <w:rsid w:val="00852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695"/>
    <w:pPr>
      <w:ind w:left="720"/>
      <w:contextualSpacing/>
    </w:pPr>
  </w:style>
  <w:style w:type="paragraph" w:styleId="Header">
    <w:name w:val="header"/>
    <w:basedOn w:val="Normal"/>
    <w:link w:val="HeaderChar"/>
    <w:rsid w:val="005F12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F12C4"/>
    <w:rPr>
      <w:sz w:val="24"/>
      <w:szCs w:val="24"/>
    </w:rPr>
  </w:style>
  <w:style w:type="paragraph" w:styleId="Footer">
    <w:name w:val="footer"/>
    <w:basedOn w:val="Normal"/>
    <w:link w:val="FooterChar"/>
    <w:rsid w:val="005F12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F12C4"/>
    <w:rPr>
      <w:sz w:val="24"/>
      <w:szCs w:val="24"/>
    </w:rPr>
  </w:style>
  <w:style w:type="character" w:styleId="CommentReference">
    <w:name w:val="annotation reference"/>
    <w:rsid w:val="00F163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6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63F2"/>
  </w:style>
  <w:style w:type="paragraph" w:styleId="CommentSubject">
    <w:name w:val="annotation subject"/>
    <w:basedOn w:val="CommentText"/>
    <w:next w:val="CommentText"/>
    <w:link w:val="CommentSubjectChar"/>
    <w:rsid w:val="00F163F2"/>
    <w:rPr>
      <w:b/>
      <w:bCs/>
    </w:rPr>
  </w:style>
  <w:style w:type="character" w:customStyle="1" w:styleId="CommentSubjectChar">
    <w:name w:val="Comment Subject Char"/>
    <w:link w:val="CommentSubject"/>
    <w:rsid w:val="00F163F2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GAUSrJtvCfohkLAc0bBW3GbTQ==">AMUW2mVCzMD/1OhTsBMptQjedSasjvo2/mzV9oi7rcCbZjnYTDgIE5UER7OYJyM4ydKyORDSqDrQBJHSKZ+bJTrzA/U8lQiJgczQein1uxBUF2ANHLfCy7r4jUpamvQHHwC20UYBNxsD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Mortensen</dc:creator>
  <cp:lastModifiedBy>Jackson Whitmore</cp:lastModifiedBy>
  <cp:revision>2</cp:revision>
  <dcterms:created xsi:type="dcterms:W3CDTF">2016-02-10T23:25:00Z</dcterms:created>
  <dcterms:modified xsi:type="dcterms:W3CDTF">2022-04-09T00:23:00Z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72;#Course Development|533941c5-78f9-4b70-9343-0feaf09f5b89</vt:lpwstr>
  </property>
  <property fmtid="{D5CDD505-2E9C-101B-9397-08002B2CF9AE}" pid="3" name="DocumentSubject">
    <vt:lpwstr>3975;#PHY-111L|0fecb6b3-c036-4a33-b54c-b5f81a74cb48</vt:lpwstr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isplay_urn:schemas-microsoft-com:office:office#Editor">
    <vt:lpwstr>Candice Johnson</vt:lpwstr>
  </property>
  <property fmtid="{D5CDD505-2E9C-101B-9397-08002B2CF9AE}" pid="9" name="EPMLiveListConfig">
    <vt:lpwstr/>
  </property>
  <property fmtid="{D5CDD505-2E9C-101B-9397-08002B2CF9AE}" pid="10" name="display_urn:schemas-microsoft-com:office:office#Author">
    <vt:lpwstr>Candice Johnson</vt:lpwstr>
  </property>
  <property fmtid="{D5CDD505-2E9C-101B-9397-08002B2CF9AE}" pid="11" name="DocumentStatus">
    <vt:lpwstr/>
  </property>
  <property fmtid="{D5CDD505-2E9C-101B-9397-08002B2CF9AE}" pid="12" name="DocumentCategory">
    <vt:lpwstr/>
  </property>
  <property fmtid="{D5CDD505-2E9C-101B-9397-08002B2CF9AE}" pid="13" name="ContentTypeId">
    <vt:lpwstr>0x010100911D7BF13958C64483E7E107A08507EA</vt:lpwstr>
  </property>
</Properties>
</file>