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80"/>
        <w:jc w:val="center"/>
      </w:pPr>
      <w:r>
        <w:rPr>
          <w:rFonts w:ascii="Arial" w:cs="Arial" w:eastAsia="Arial" w:hAnsi="Arial"/>
          <w:b/>
          <w:bCs/>
          <w:caps/>
          <w:color w:val="003B75"/>
          <w:sz w:val="36"/>
          <w:szCs w:val="36"/>
        </w:rPr>
        <w:t xml:space="preserve">PHASE 3 ADMIN GUIDE</w:t>
      </w:r>
    </w:p>
    <w:p>
      <w:pPr>
        <w:spacing w:after="60"/>
        <w:jc w:val="center"/>
      </w:pPr>
      <w:r>
        <w:rPr>
          <w:rFonts w:ascii="Arial" w:cs="Arial" w:eastAsia="Arial" w:hAnsi="Arial"/>
          <w:color w:val="0033A0"/>
          <w:sz w:val="26"/>
          <w:szCs w:val="26"/>
        </w:rPr>
        <w:t xml:space="preserve">Synchronized Data Extension Field Mapping</w:t>
      </w:r>
    </w:p>
    <w:p>
      <w:pPr>
        <w:spacing w:after="60"/>
        <w:jc w:val="center"/>
      </w:pPr>
      <w:r>
        <w:rPr>
          <w:rFonts w:ascii="Arial" w:cs="Arial" w:eastAsia="Arial" w:hAnsi="Arial"/>
          <w:color w:val="666666"/>
          <w:sz w:val="20"/>
          <w:szCs w:val="20"/>
        </w:rPr>
        <w:t xml:space="preserve">UK Centralized Subscription Center — Human Resources POC</w:t>
      </w:r>
    </w:p>
    <w:p>
      <w:pPr>
        <w:spacing w:after="240"/>
        <w:jc w:val="center"/>
      </w:pPr>
      <w:r>
        <w:rPr>
          <w:rFonts w:ascii="Arial" w:cs="Arial" w:eastAsia="Arial" w:hAnsi="Arial"/>
          <w:color w:val="999999"/>
          <w:sz w:val="18"/>
          <w:szCs w:val="18"/>
        </w:rPr>
        <w:t xml:space="preserve">Salesforce Marketing Cloud — University of Kentucky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03B75" w:val="clear"/>
            <w:tcMar>
              <w:top w:type="dxa" w:w="80"/>
              <w:left w:type="dxa" w:w="120"/>
              <w:bottom w:type="dxa" w:w="80"/>
              <w:right w:type="dxa" w:w="120"/>
            </w:tcMar>
          </w:tcPr>
          <w:p>
            <w:r>
              <w:rPr>
                <w:rFonts w:ascii="Arial" w:cs="Arial" w:eastAsia="Arial" w:hAnsi="Arial"/>
                <w:b/>
                <w:bCs/>
                <w:color w:val="FFFFFF"/>
                <w:sz w:val="18"/>
                <w:szCs w:val="18"/>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2800"/>
            <w:tcBorders>
              <w:top w:val="single" w:color="CCCCCC" w:sz="1"/>
              <w:left w:val="single" w:color="CCCCCC" w:sz="1"/>
              <w:bottom w:val="single" w:color="CCCCCC" w:sz="1"/>
              <w:right w:val="single" w:color="CCCCCC" w:sz="1"/>
            </w:tcBorders>
            <w:shd w:fill="003B75"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July 2026</w:t>
            </w:r>
          </w:p>
        </w:tc>
      </w:tr>
      <w:tr>
        <w:tc>
          <w:tcPr>
            <w:tcW w:type="dxa" w:w="2800"/>
            <w:tcBorders>
              <w:top w:val="single" w:color="CCCCCC" w:sz="1"/>
              <w:left w:val="single" w:color="CCCCCC" w:sz="1"/>
              <w:bottom w:val="single" w:color="CCCCCC" w:sz="1"/>
              <w:right w:val="single" w:color="CCCCCC" w:sz="1"/>
            </w:tcBorders>
            <w:shd w:fill="003B75"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Cloud Administrator / Salesforce Implementation Team</w:t>
            </w:r>
          </w:p>
        </w:tc>
      </w:tr>
      <w:tr>
        <w:tc>
          <w:tcPr>
            <w:tcW w:type="dxa" w:w="2800"/>
            <w:tcBorders>
              <w:top w:val="single" w:color="CCCCCC" w:sz="1"/>
              <w:left w:val="single" w:color="CCCCCC" w:sz="1"/>
              <w:bottom w:val="single" w:color="CCCCCC" w:sz="1"/>
              <w:right w:val="single" w:color="CCCCCC" w:sz="1"/>
            </w:tcBorders>
            <w:shd w:fill="003B75" w:val="clear"/>
            <w:tcMar>
              <w:top w:type="dxa" w:w="80"/>
              <w:left w:type="dxa" w:w="120"/>
              <w:bottom w:type="dxa" w:w="80"/>
              <w:right w:type="dxa" w:w="120"/>
            </w:tcMar>
          </w:tcPr>
          <w:p>
            <w:r>
              <w:rPr>
                <w:rFonts w:ascii="Arial" w:cs="Arial" w:eastAsia="Arial" w:hAnsi="Arial"/>
                <w:b/>
                <w:bCs/>
                <w:color w:val="FFFFFF"/>
                <w:sz w:val="18"/>
                <w:szCs w:val="18"/>
              </w:rPr>
              <w:t xml:space="preserve">POC Scope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Resources CRM org only</w:t>
            </w:r>
          </w:p>
        </w:tc>
      </w:tr>
      <w:tr>
        <w:tc>
          <w:tcPr>
            <w:tcW w:type="dxa" w:w="2800"/>
            <w:tcBorders>
              <w:top w:val="single" w:color="CCCCCC" w:sz="1"/>
              <w:left w:val="single" w:color="CCCCCC" w:sz="1"/>
              <w:bottom w:val="single" w:color="CCCCCC" w:sz="1"/>
              <w:right w:val="single" w:color="CCCCCC" w:sz="1"/>
            </w:tcBorders>
            <w:shd w:fill="003B75"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complete — SubscriptionConfig DEs created and admin tool published</w:t>
            </w:r>
          </w:p>
        </w:tc>
      </w:tr>
    </w:tbl>
    <w:p>
      <w:pPr>
        <w:spacing w:after="240"/>
      </w:pPr>
      <w:r>
        <w:t xml:space="preserve"/>
      </w:r>
    </w:p>
    <w:p>
      <w:pPr>
        <w:pBdr>
          <w:bottom w:val="single" w:color="0033A0" w:sz="6" w:space="1"/>
        </w:pBdr>
        <w:spacing w:after="120" w:before="120"/>
      </w:pPr>
      <w:r>
        <w:t xml:space="preserve"/>
      </w:r>
    </w:p>
    <w:p>
      <w:pPr>
        <w:spacing w:after="120"/>
      </w:pPr>
      <w:r>
        <w:t xml:space="preserve"/>
      </w:r>
    </w:p>
    <w:p>
      <w:pPr>
        <w:pStyle w:val="Heading1"/>
        <w:spacing w:after="160" w:before="320"/>
      </w:pPr>
      <w:r>
        <w:rPr>
          <w:rFonts w:ascii="Arial" w:cs="Arial" w:eastAsia="Arial" w:hAnsi="Arial"/>
          <w:b/>
          <w:bCs/>
          <w:color w:val="003B75"/>
          <w:sz w:val="28"/>
          <w:szCs w:val="28"/>
        </w:rPr>
        <w:t xml:space="preserve">Overview</w:t>
      </w:r>
    </w:p>
    <w:p>
      <w:pPr>
        <w:spacing w:after="120"/>
      </w:pPr>
      <w:r>
        <w:rPr>
          <w:rFonts w:ascii="Arial" w:cs="Arial" w:eastAsia="Arial" w:hAnsi="Arial"/>
          <w:sz w:val="20"/>
          <w:szCs w:val="20"/>
        </w:rPr>
        <w:t xml:space="preserve">Phase 3 bridges the configuration layer built in Phase 2 with the live data layer in Marketing Cloud Contact Builder. The goal is to confirm that every subscription preference field registered in the admin tool has a corresponding column in the Human Resources synchronized data extension, that the Marketing Cloud connector sync is active, and that contact records are flowing from Salesforce CRM into Marketing Cloud on the expected 15-minute cadence.</w:t>
      </w:r>
    </w:p>
    <w:p>
      <w:pPr>
        <w:spacing w:after="80"/>
      </w:pPr>
      <w:r>
        <w:t xml:space="preserve"/>
      </w:r>
    </w:p>
    <w:p>
      <w:pPr>
        <w:spacing w:after="120"/>
      </w:pPr>
      <w:r>
        <w:rPr>
          <w:rFonts w:ascii="Arial" w:cs="Arial" w:eastAsia="Arial" w:hAnsi="Arial"/>
          <w:sz w:val="20"/>
          <w:szCs w:val="20"/>
        </w:rPr>
        <w:t xml:space="preserve">This guide covers three areas:</w:t>
      </w:r>
    </w:p>
    <w:p>
      <w:pPr>
        <w:pStyle w:val="ListParagraph"/>
        <w:numPr>
          <w:ilvl w:val="0"/>
          <w:numId w:val="2"/>
        </w:numPr>
        <w:spacing w:after="80"/>
      </w:pPr>
      <w:r>
        <w:rPr>
          <w:rFonts w:ascii="Arial" w:cs="Arial" w:eastAsia="Arial" w:hAnsi="Arial"/>
          <w:sz w:val="20"/>
          <w:szCs w:val="20"/>
        </w:rPr>
        <w:t xml:space="preserve">Verifying prerequisites from Phase 1 and Phase 2</w:t>
      </w:r>
    </w:p>
    <w:p>
      <w:pPr>
        <w:pStyle w:val="ListParagraph"/>
        <w:numPr>
          <w:ilvl w:val="0"/>
          <w:numId w:val="2"/>
        </w:numPr>
        <w:spacing w:after="80"/>
      </w:pPr>
      <w:r>
        <w:rPr>
          <w:rFonts w:ascii="Arial" w:cs="Arial" w:eastAsia="Arial" w:hAnsi="Arial"/>
          <w:sz w:val="20"/>
          <w:szCs w:val="20"/>
        </w:rPr>
        <w:t xml:space="preserve">Mapping registered fields to the HR synchronized data extension in Contact Builder</w:t>
      </w:r>
    </w:p>
    <w:p>
      <w:pPr>
        <w:pStyle w:val="ListParagraph"/>
        <w:numPr>
          <w:ilvl w:val="0"/>
          <w:numId w:val="2"/>
        </w:numPr>
        <w:spacing w:after="80"/>
      </w:pPr>
      <w:r>
        <w:rPr>
          <w:rFonts w:ascii="Arial" w:cs="Arial" w:eastAsia="Arial" w:hAnsi="Arial"/>
          <w:sz w:val="20"/>
          <w:szCs w:val="20"/>
        </w:rPr>
        <w:t xml:space="preserve">Running the Phase 3 Sync Validation Cloud Page to confirm data flow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A0" w:sz="4"/>
              <w:left w:val="single" w:color="0033A0" w:sz="4"/>
              <w:bottom w:val="single" w:color="0033A0" w:sz="4"/>
              <w:right w:val="single" w:color="0033A0" w:sz="4"/>
            </w:tcBorders>
            <w:shd w:fill="D9E6F2" w:val="clear"/>
            <w:tcMar>
              <w:top w:type="dxa" w:w="120"/>
              <w:left w:type="dxa" w:w="160"/>
              <w:bottom w:type="dxa" w:w="120"/>
              <w:right w:type="dxa" w:w="160"/>
            </w:tcMar>
          </w:tcPr>
          <w:p>
            <w:pPr>
              <w:spacing w:after="60"/>
            </w:pPr>
            <w:r>
              <w:rPr>
                <w:rFonts w:ascii="Arial" w:cs="Arial" w:eastAsia="Arial" w:hAnsi="Arial"/>
                <w:b/>
                <w:bCs/>
                <w:color w:val="003B75"/>
                <w:sz w:val="20"/>
                <w:szCs w:val="20"/>
              </w:rPr>
              <w:t xml:space="preserve">What “mapping” means in this context</w:t>
            </w:r>
          </w:p>
          <w:p>
            <w:pPr>
              <w:spacing w:after="60"/>
            </w:pPr>
            <w:r>
              <w:rPr>
                <w:rFonts w:ascii="Arial" w:cs="Arial" w:eastAsia="Arial" w:hAnsi="Arial"/>
                <w:sz w:val="20"/>
                <w:szCs w:val="20"/>
              </w:rPr>
              <w:t xml:space="preserve">Salesforce Marketing Cloud’s synchronized data extensions are created and managed by the Marketing Cloud Connect connector. The columns in each synced DE correspond to Salesforce object fields selected during connector configuration. “Mapping” in this phase means confirming those columns exist and match the field API names registered in the admin tool — not creating new cloud page code.</w:t>
            </w:r>
          </w:p>
        </w:tc>
      </w:tr>
    </w:tbl>
    <w:p>
      <w:pPr>
        <w:spacing w:after="200"/>
      </w:pPr>
      <w:r>
        <w:t xml:space="preserve"/>
      </w:r>
    </w:p>
    <w:p>
      <w:pPr>
        <w:pBdr>
          <w:bottom w:val="single" w:color="0033A0" w:sz="6" w:space="1"/>
        </w:pBdr>
        <w:spacing w:after="120" w:before="120"/>
      </w:pPr>
      <w:r>
        <w:t xml:space="preserve"/>
      </w:r>
    </w:p>
    <w:p>
      <w:pPr>
        <w:spacing w:after="120"/>
      </w:pPr>
      <w:r>
        <w:t xml:space="preserve"/>
      </w:r>
    </w:p>
    <w:p>
      <w:pPr>
        <w:pStyle w:val="Heading1"/>
        <w:spacing w:after="160" w:before="320"/>
      </w:pPr>
      <w:r>
        <w:rPr>
          <w:rFonts w:ascii="Arial" w:cs="Arial" w:eastAsia="Arial" w:hAnsi="Arial"/>
          <w:b/>
          <w:bCs/>
          <w:color w:val="003B75"/>
          <w:sz w:val="28"/>
          <w:szCs w:val="28"/>
        </w:rPr>
        <w:t xml:space="preserve">Prerequisites</w:t>
      </w:r>
    </w:p>
    <w:p>
      <w:pPr>
        <w:spacing w:after="120"/>
      </w:pPr>
      <w:r>
        <w:rPr>
          <w:rFonts w:ascii="Arial" w:cs="Arial" w:eastAsia="Arial" w:hAnsi="Arial"/>
          <w:sz w:val="20"/>
          <w:szCs w:val="20"/>
        </w:rPr>
        <w:t xml:space="preserve">Verify all items below before proceeding. Each row maps to a prior phase deliverable.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B75"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160"/>
            <w:tcBorders>
              <w:top w:val="single" w:color="CCCCCC" w:sz="1"/>
              <w:left w:val="single" w:color="CCCCCC" w:sz="1"/>
              <w:bottom w:val="single" w:color="CCCCCC" w:sz="1"/>
              <w:right w:val="single" w:color="CCCCCC" w:sz="1"/>
            </w:tcBorders>
            <w:shd w:fill="003B75" w:val="clear"/>
            <w:tcMar>
              <w:top w:type="dxa" w:w="80"/>
              <w:left w:type="dxa" w:w="120"/>
              <w:bottom w:type="dxa" w:w="80"/>
              <w:right w:type="dxa" w:w="120"/>
            </w:tcMar>
          </w:tcPr>
          <w:p>
            <w:r>
              <w:rPr>
                <w:rFonts w:ascii="Arial" w:cs="Arial" w:eastAsia="Arial" w:hAnsi="Arial"/>
                <w:b/>
                <w:bCs/>
                <w:color w:val="FFFFFF"/>
                <w:sz w:val="18"/>
                <w:szCs w:val="18"/>
              </w:rPr>
              <w:t xml:space="preserve">Status / Detail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Phase 1 complete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HR Salesforce org has boolean subscription fields created with default value = True on all existing records. Field API names are confirmed and documented.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Phase 2a complete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SubscriptionConfig_Orgs and SubscriptionConfig_Fields DEs are created in the parent BU.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Phase 2b complete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Admin tool cloud page is published and accessible. HR org and its subscription fields have been registered via the admin tool.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Connected App exists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 Salesforce Connected App is configured in the HR org for Marketing Cloud Connect. OAuth client credentials are available.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MC Connect installed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Marketing Cloud Connect package is installed in the HR Salesforce org and the connector user has field-level access to all subscription fields.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Admin access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You have Marketing Cloud system administrator access to the parent BU and the HR child BU.</w:t>
            </w:r>
          </w:p>
        </w:tc>
      </w:tr>
    </w:tbl>
    <w:p>
      <w:pPr>
        <w:spacing w:after="200"/>
      </w:pPr>
      <w:r>
        <w:t xml:space="preserve"/>
      </w:r>
    </w:p>
    <w:p>
      <w:pPr>
        <w:pBdr>
          <w:bottom w:val="single" w:color="0033A0" w:sz="6" w:space="1"/>
        </w:pBdr>
        <w:spacing w:after="120" w:before="120"/>
      </w:pPr>
      <w:r>
        <w:t xml:space="preserve"/>
      </w:r>
    </w:p>
    <w:p>
      <w:pPr>
        <w:spacing w:after="120"/>
      </w:pPr>
      <w:r>
        <w:t xml:space="preserve"/>
      </w:r>
    </w:p>
    <w:p>
      <w:pPr>
        <w:pStyle w:val="Heading1"/>
        <w:spacing w:after="160" w:before="320"/>
      </w:pPr>
      <w:r>
        <w:rPr>
          <w:rFonts w:ascii="Arial" w:cs="Arial" w:eastAsia="Arial" w:hAnsi="Arial"/>
          <w:b/>
          <w:bCs/>
          <w:color w:val="003B75"/>
          <w:sz w:val="28"/>
          <w:szCs w:val="28"/>
        </w:rPr>
        <w:t xml:space="preserve">Step 1 — Retrieve the Registered Field List from the Admin Tool</w:t>
      </w:r>
    </w:p>
    <w:p>
      <w:pPr>
        <w:spacing w:after="120"/>
      </w:pPr>
      <w:r>
        <w:rPr>
          <w:rFonts w:ascii="Arial" w:cs="Arial" w:eastAsia="Arial" w:hAnsi="Arial"/>
          <w:sz w:val="20"/>
          <w:szCs w:val="20"/>
        </w:rPr>
        <w:t xml:space="preserve">Before touching Contact Builder, export the exact field API names that the admin tool has registered for the HR org. These are the ground truth for what must exist in the synced 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3B75" w:val="clear"/>
            <w:tcMar>
              <w:top w:type="dxa" w:w="100"/>
              <w:left w:type="dxa" w:w="160"/>
              <w:bottom w:type="dxa" w:w="100"/>
              <w:right w:type="dxa" w:w="160"/>
            </w:tcMar>
          </w:tcPr>
          <w:p>
            <w:pPr>
              <w:spacing w:after="80"/>
            </w:pPr>
            <w:r>
              <w:rPr>
                <w:rFonts w:ascii="Arial" w:cs="Arial" w:eastAsia="Arial" w:hAnsi="Arial"/>
                <w:b/>
                <w:bCs/>
                <w:color w:val="FFFFFF"/>
                <w:sz w:val="20"/>
                <w:szCs w:val="20"/>
              </w:rPr>
              <w:t xml:space="preserve">Step 1: </w:t>
            </w:r>
            <w:r>
              <w:rPr>
                <w:rFonts w:ascii="Arial" w:cs="Arial" w:eastAsia="Arial" w:hAnsi="Arial"/>
                <w:b/>
                <w:bCs/>
                <w:color w:val="FFFFFF"/>
                <w:sz w:val="20"/>
                <w:szCs w:val="20"/>
              </w:rPr>
              <w:t xml:space="preserve">Open the admin tool and export field registrations</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pStyle w:val="ListParagraph"/>
              <w:numPr>
                <w:ilvl w:val="0"/>
                <w:numId w:val="3"/>
              </w:numPr>
              <w:spacing w:after="100"/>
            </w:pPr>
            <w:r>
              <w:rPr>
                <w:rFonts w:ascii="Arial" w:cs="Arial" w:eastAsia="Arial" w:hAnsi="Arial"/>
                <w:sz w:val="20"/>
                <w:szCs w:val="20"/>
              </w:rPr>
              <w:t xml:space="preserve">Navigate to the admin tool cloud page in the parent BU.</w:t>
            </w:r>
          </w:p>
          <w:p>
            <w:pPr>
              <w:pStyle w:val="ListParagraph"/>
              <w:numPr>
                <w:ilvl w:val="0"/>
                <w:numId w:val="3"/>
              </w:numPr>
              <w:spacing w:after="100"/>
            </w:pPr>
            <w:r>
              <w:rPr>
                <w:rFonts w:ascii="Arial" w:cs="Arial" w:eastAsia="Arial" w:hAnsi="Arial"/>
                <w:sz w:val="20"/>
                <w:szCs w:val="20"/>
              </w:rPr>
              <w:t xml:space="preserve">Select the Human Resources org from the org list.</w:t>
            </w:r>
          </w:p>
          <w:p>
            <w:pPr>
              <w:pStyle w:val="ListParagraph"/>
              <w:numPr>
                <w:ilvl w:val="0"/>
                <w:numId w:val="3"/>
              </w:numPr>
              <w:spacing w:after="100"/>
            </w:pPr>
            <w:r>
              <w:rPr>
                <w:rFonts w:ascii="Arial" w:cs="Arial" w:eastAsia="Arial" w:hAnsi="Arial"/>
                <w:sz w:val="20"/>
                <w:szCs w:val="20"/>
              </w:rPr>
              <w:t xml:space="preserve">Under the </w:t>
            </w:r>
            <w:r>
              <w:rPr>
                <w:rFonts w:ascii="Arial" w:cs="Arial" w:eastAsia="Arial" w:hAnsi="Arial"/>
                <w:b/>
                <w:bCs/>
                <w:sz w:val="20"/>
                <w:szCs w:val="20"/>
              </w:rPr>
              <w:t xml:space="preserve">Registered Fields</w:t>
            </w:r>
            <w:r>
              <w:rPr>
                <w:rFonts w:ascii="Arial" w:cs="Arial" w:eastAsia="Arial" w:hAnsi="Arial"/>
                <w:sz w:val="20"/>
                <w:szCs w:val="20"/>
              </w:rPr>
              <w:t xml:space="preserve"> section, note all active fields. For each field, record:</w:t>
            </w:r>
          </w:p>
          <w:p>
            <w:pPr>
              <w:pStyle w:val="ListParagraph"/>
              <w:numPr>
                <w:ilvl w:val="1"/>
                <w:numId w:val="2"/>
              </w:numPr>
              <w:spacing w:after="80"/>
            </w:pPr>
            <w:r>
              <w:rPr>
                <w:rFonts w:ascii="Arial" w:cs="Arial" w:eastAsia="Arial" w:hAnsi="Arial"/>
                <w:sz w:val="20"/>
                <w:szCs w:val="20"/>
              </w:rPr>
              <w:t xml:space="preserve">SFObjectName</w:t>
            </w:r>
            <w:r>
              <w:rPr>
                <w:rFonts w:ascii="Arial" w:cs="Arial" w:eastAsia="Arial" w:hAnsi="Arial"/>
                <w:sz w:val="20"/>
                <w:szCs w:val="20"/>
              </w:rPr>
              <w:t xml:space="preserve"> — the Salesforce object the field lives on (e.g., </w:t>
            </w:r>
            <w:r>
              <w:rPr>
                <w:rFonts w:ascii="Courier New" w:cs="Courier New" w:eastAsia="Courier New" w:hAnsi="Courier New"/>
                <w:color w:val="6B2A8A"/>
                <w:sz w:val="18"/>
                <w:szCs w:val="18"/>
              </w:rPr>
              <w:t xml:space="preserve">Contact</w:t>
            </w:r>
            <w:r>
              <w:rPr>
                <w:rFonts w:ascii="Arial" w:cs="Arial" w:eastAsia="Arial" w:hAnsi="Arial"/>
                <w:sz w:val="20"/>
                <w:szCs w:val="20"/>
              </w:rPr>
              <w:t xml:space="preserve">, </w:t>
            </w:r>
            <w:r>
              <w:rPr>
                <w:rFonts w:ascii="Courier New" w:cs="Courier New" w:eastAsia="Courier New" w:hAnsi="Courier New"/>
                <w:color w:val="6B2A8A"/>
                <w:sz w:val="18"/>
                <w:szCs w:val="18"/>
              </w:rPr>
              <w:t xml:space="preserve">HR_Record__c</w:t>
            </w:r>
            <w:r>
              <w:rPr>
                <w:rFonts w:ascii="Arial" w:cs="Arial" w:eastAsia="Arial" w:hAnsi="Arial"/>
                <w:sz w:val="20"/>
                <w:szCs w:val="20"/>
              </w:rPr>
              <w:t xml:space="preserve">)</w:t>
            </w:r>
          </w:p>
          <w:p>
            <w:pPr>
              <w:pStyle w:val="ListParagraph"/>
              <w:numPr>
                <w:ilvl w:val="1"/>
                <w:numId w:val="2"/>
              </w:numPr>
              <w:spacing w:after="80"/>
            </w:pPr>
            <w:r>
              <w:rPr>
                <w:rFonts w:ascii="Arial" w:cs="Arial" w:eastAsia="Arial" w:hAnsi="Arial"/>
                <w:sz w:val="20"/>
                <w:szCs w:val="20"/>
              </w:rPr>
              <w:t xml:space="preserve">FieldAPIName</w:t>
            </w:r>
            <w:r>
              <w:rPr>
                <w:rFonts w:ascii="Arial" w:cs="Arial" w:eastAsia="Arial" w:hAnsi="Arial"/>
                <w:sz w:val="20"/>
                <w:szCs w:val="20"/>
              </w:rPr>
              <w:t xml:space="preserve"> — the Salesforce field API name (e.g., </w:t>
            </w:r>
            <w:r>
              <w:rPr>
                <w:rFonts w:ascii="Courier New" w:cs="Courier New" w:eastAsia="Courier New" w:hAnsi="Courier New"/>
                <w:color w:val="6B2A8A"/>
                <w:sz w:val="18"/>
                <w:szCs w:val="18"/>
              </w:rPr>
              <w:t xml:space="preserve">Email_Opt_In_Benefits__c</w:t>
            </w:r>
            <w:r>
              <w:rPr>
                <w:rFonts w:ascii="Arial" w:cs="Arial" w:eastAsia="Arial" w:hAnsi="Arial"/>
                <w:sz w:val="20"/>
                <w:szCs w:val="20"/>
              </w:rPr>
              <w:t xml:space="preserve">)</w:t>
            </w:r>
          </w:p>
          <w:p>
            <w:pPr>
              <w:pStyle w:val="ListParagraph"/>
              <w:numPr>
                <w:ilvl w:val="1"/>
                <w:numId w:val="2"/>
              </w:numPr>
              <w:spacing w:after="80"/>
            </w:pPr>
            <w:r>
              <w:rPr>
                <w:rFonts w:ascii="Arial" w:cs="Arial" w:eastAsia="Arial" w:hAnsi="Arial"/>
                <w:sz w:val="20"/>
                <w:szCs w:val="20"/>
              </w:rPr>
              <w:t xml:space="preserve">DisplayLabel</w:t>
            </w:r>
            <w:r>
              <w:rPr>
                <w:rFonts w:ascii="Arial" w:cs="Arial" w:eastAsia="Arial" w:hAnsi="Arial"/>
                <w:sz w:val="20"/>
                <w:szCs w:val="20"/>
              </w:rPr>
              <w:t xml:space="preserve"> — the subscriber-facing label (for reference only; not used in Contact Builder)</w:t>
            </w:r>
          </w:p>
          <w:p>
            <w:pPr>
              <w:pStyle w:val="ListParagraph"/>
              <w:numPr>
                <w:ilvl w:val="0"/>
                <w:numId w:val="3"/>
              </w:numPr>
              <w:spacing w:after="100"/>
            </w:pPr>
            <w:r>
              <w:rPr>
                <w:rFonts w:ascii="Arial" w:cs="Arial" w:eastAsia="Arial" w:hAnsi="Arial"/>
                <w:sz w:val="20"/>
                <w:szCs w:val="20"/>
              </w:rPr>
              <w:t xml:space="preserve">If no fields are registered yet, stop here and complete Phase 2b before proceeding.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A0" w:sz="4"/>
              <w:left w:val="single" w:color="0033A0" w:sz="4"/>
              <w:bottom w:val="single" w:color="0033A0" w:sz="4"/>
              <w:right w:val="single" w:color="0033A0" w:sz="4"/>
            </w:tcBorders>
            <w:shd w:fill="FFF3CD" w:val="clear"/>
            <w:tcMar>
              <w:top w:type="dxa" w:w="120"/>
              <w:left w:type="dxa" w:w="160"/>
              <w:bottom w:type="dxa" w:w="120"/>
              <w:right w:type="dxa" w:w="160"/>
            </w:tcMar>
          </w:tcPr>
          <w:p>
            <w:pPr>
              <w:spacing w:after="60"/>
            </w:pPr>
            <w:r>
              <w:rPr>
                <w:rFonts w:ascii="Arial" w:cs="Arial" w:eastAsia="Arial" w:hAnsi="Arial"/>
                <w:b/>
                <w:bCs/>
                <w:color w:val="BB5500"/>
                <w:sz w:val="20"/>
                <w:szCs w:val="20"/>
              </w:rPr>
              <w:t xml:space="preserve">⚠️  Critical: Field API name must match exactly</w:t>
            </w:r>
          </w:p>
          <w:p>
            <w:pPr>
              <w:spacing w:after="60"/>
            </w:pPr>
            <w:r>
              <w:rPr>
                <w:rFonts w:ascii="Arial" w:cs="Arial" w:eastAsia="Arial" w:hAnsi="Arial"/>
                <w:sz w:val="20"/>
                <w:szCs w:val="20"/>
              </w:rPr>
              <w:t xml:space="preserve">The FieldAPIName column in SubscriptionConfig_Fields must exactly match the column name in the Marketing Cloud synchronized DE. Case matters. A mismatch means the parent cloud page will query the wrong column and preferences will not pre-populate. Do not guess — copy from the admin tool or from the Salesforce field’s “API Name” property directly.</w:t>
            </w:r>
          </w:p>
        </w:tc>
      </w:tr>
    </w:tbl>
    <w:p>
      <w:pPr>
        <w:spacing w:after="200"/>
      </w:pPr>
      <w:r>
        <w:t xml:space="preserve"/>
      </w:r>
    </w:p>
    <w:p>
      <w:pPr>
        <w:pBdr>
          <w:bottom w:val="single" w:color="0033A0" w:sz="6" w:space="1"/>
        </w:pBdr>
        <w:spacing w:after="120" w:before="120"/>
      </w:pPr>
      <w:r>
        <w:t xml:space="preserve"/>
      </w:r>
    </w:p>
    <w:p>
      <w:pPr>
        <w:spacing w:after="120"/>
      </w:pPr>
      <w:r>
        <w:t xml:space="preserve"/>
      </w:r>
    </w:p>
    <w:p>
      <w:pPr>
        <w:pStyle w:val="Heading1"/>
        <w:spacing w:after="160" w:before="320"/>
      </w:pPr>
      <w:r>
        <w:rPr>
          <w:rFonts w:ascii="Arial" w:cs="Arial" w:eastAsia="Arial" w:hAnsi="Arial"/>
          <w:b/>
          <w:bCs/>
          <w:color w:val="003B75"/>
          <w:sz w:val="28"/>
          <w:szCs w:val="28"/>
        </w:rPr>
        <w:t xml:space="preserve">Step 2 — Locate the HR Synchronized Data Extension</w:t>
      </w:r>
    </w:p>
    <w:p>
      <w:pPr>
        <w:spacing w:after="120"/>
      </w:pPr>
      <w:r>
        <w:rPr>
          <w:rFonts w:ascii="Arial" w:cs="Arial" w:eastAsia="Arial" w:hAnsi="Arial"/>
          <w:sz w:val="20"/>
          <w:szCs w:val="20"/>
        </w:rPr>
        <w:t xml:space="preserve">Marketing Cloud Connect creates a synchronized DE for each object you configure. For this POC the relevant object is the one(s) listed in </w:t>
      </w:r>
      <w:r>
        <w:rPr>
          <w:rFonts w:ascii="Arial" w:cs="Arial" w:eastAsia="Arial" w:hAnsi="Arial"/>
          <w:b/>
          <w:bCs/>
          <w:sz w:val="20"/>
          <w:szCs w:val="20"/>
        </w:rPr>
        <w:t xml:space="preserve">SFObjectName</w:t>
      </w:r>
      <w:r>
        <w:rPr>
          <w:rFonts w:ascii="Arial" w:cs="Arial" w:eastAsia="Arial" w:hAnsi="Arial"/>
          <w:sz w:val="20"/>
          <w:szCs w:val="20"/>
        </w:rPr>
        <w:t xml:space="preserve"> from Step 1 — most commonly </w:t>
      </w:r>
      <w:r>
        <w:rPr>
          <w:rFonts w:ascii="Courier New" w:cs="Courier New" w:eastAsia="Courier New" w:hAnsi="Courier New"/>
          <w:color w:val="6B2A8A"/>
          <w:sz w:val="18"/>
          <w:szCs w:val="18"/>
        </w:rPr>
        <w:t xml:space="preserve">Contact</w:t>
      </w:r>
      <w:r>
        <w:rPr>
          <w:rFonts w:ascii="Arial" w:cs="Arial" w:eastAsia="Arial" w:hAnsi="Arial"/>
          <w:sz w:val="20"/>
          <w:szCs w:val="20"/>
        </w:rPr>
        <w:t xml:space="preserve">. The synced DE lives in the </w:t>
      </w:r>
      <w:r>
        <w:rPr>
          <w:rFonts w:ascii="Arial" w:cs="Arial" w:eastAsia="Arial" w:hAnsi="Arial"/>
          <w:b/>
          <w:bCs/>
          <w:sz w:val="20"/>
          <w:szCs w:val="20"/>
        </w:rPr>
        <w:t xml:space="preserve">HR child BU</w:t>
      </w:r>
      <w:r>
        <w:rPr>
          <w:rFonts w:ascii="Arial" w:cs="Arial" w:eastAsia="Arial" w:hAnsi="Arial"/>
          <w:sz w:val="20"/>
          <w:szCs w:val="20"/>
        </w:rPr>
        <w:t xml:space="preserve">, not the parent BU.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3B75" w:val="clear"/>
            <w:tcMar>
              <w:top w:type="dxa" w:w="100"/>
              <w:left w:type="dxa" w:w="160"/>
              <w:bottom w:type="dxa" w:w="100"/>
              <w:right w:type="dxa" w:w="160"/>
            </w:tcMar>
          </w:tcPr>
          <w:p>
            <w:pPr>
              <w:spacing w:after="80"/>
            </w:pPr>
            <w:r>
              <w:rPr>
                <w:rFonts w:ascii="Arial" w:cs="Arial" w:eastAsia="Arial" w:hAnsi="Arial"/>
                <w:b/>
                <w:bCs/>
                <w:color w:val="FFFFFF"/>
                <w:sz w:val="20"/>
                <w:szCs w:val="20"/>
              </w:rPr>
              <w:t xml:space="preserve">Step 2: </w:t>
            </w:r>
            <w:r>
              <w:rPr>
                <w:rFonts w:ascii="Arial" w:cs="Arial" w:eastAsia="Arial" w:hAnsi="Arial"/>
                <w:b/>
                <w:bCs/>
                <w:color w:val="FFFFFF"/>
                <w:sz w:val="20"/>
                <w:szCs w:val="20"/>
              </w:rPr>
              <w:t xml:space="preserve">Locate the synchronized DE in Contact Builder</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pStyle w:val="ListParagraph"/>
              <w:numPr>
                <w:ilvl w:val="0"/>
                <w:numId w:val="3"/>
              </w:numPr>
              <w:spacing w:after="100"/>
            </w:pPr>
            <w:r>
              <w:rPr>
                <w:rFonts w:ascii="Arial" w:cs="Arial" w:eastAsia="Arial" w:hAnsi="Arial"/>
                <w:sz w:val="20"/>
                <w:szCs w:val="20"/>
              </w:rPr>
              <w:t xml:space="preserve">Switch to the </w:t>
            </w:r>
            <w:r>
              <w:rPr>
                <w:rFonts w:ascii="Arial" w:cs="Arial" w:eastAsia="Arial" w:hAnsi="Arial"/>
                <w:b/>
                <w:bCs/>
                <w:sz w:val="20"/>
                <w:szCs w:val="20"/>
              </w:rPr>
              <w:t xml:space="preserve">HR child BU</w:t>
            </w:r>
            <w:r>
              <w:rPr>
                <w:rFonts w:ascii="Arial" w:cs="Arial" w:eastAsia="Arial" w:hAnsi="Arial"/>
                <w:sz w:val="20"/>
                <w:szCs w:val="20"/>
              </w:rPr>
              <w:t xml:space="preserve"> in Marketing Cloud (BU switcher, top-right).</w:t>
            </w:r>
          </w:p>
          <w:p>
            <w:pPr>
              <w:pStyle w:val="ListParagraph"/>
              <w:numPr>
                <w:ilvl w:val="0"/>
                <w:numId w:val="3"/>
              </w:numPr>
              <w:spacing w:after="100"/>
            </w:pPr>
            <w:r>
              <w:rPr>
                <w:rFonts w:ascii="Arial" w:cs="Arial" w:eastAsia="Arial" w:hAnsi="Arial"/>
                <w:sz w:val="20"/>
                <w:szCs w:val="20"/>
              </w:rPr>
              <w:t xml:space="preserve">Navigate to Contact Builder → Data Extensions.</w:t>
            </w:r>
          </w:p>
          <w:p>
            <w:pPr>
              <w:pStyle w:val="ListParagraph"/>
              <w:numPr>
                <w:ilvl w:val="0"/>
                <w:numId w:val="3"/>
              </w:numPr>
              <w:spacing w:after="100"/>
            </w:pPr>
            <w:r>
              <w:rPr>
                <w:rFonts w:ascii="Arial" w:cs="Arial" w:eastAsia="Arial" w:hAnsi="Arial"/>
                <w:sz w:val="20"/>
                <w:szCs w:val="20"/>
              </w:rPr>
              <w:t xml:space="preserve">Filter by </w:t>
            </w:r>
            <w:r>
              <w:rPr>
                <w:rFonts w:ascii="Arial" w:cs="Arial" w:eastAsia="Arial" w:hAnsi="Arial"/>
                <w:b/>
                <w:bCs/>
                <w:sz w:val="20"/>
                <w:szCs w:val="20"/>
              </w:rPr>
              <w:t xml:space="preserve">Synchronized</w:t>
            </w:r>
            <w:r>
              <w:rPr>
                <w:rFonts w:ascii="Arial" w:cs="Arial" w:eastAsia="Arial" w:hAnsi="Arial"/>
                <w:sz w:val="20"/>
                <w:szCs w:val="20"/>
              </w:rPr>
              <w:t xml:space="preserve"> or search for the object name (e.g., </w:t>
            </w:r>
            <w:r>
              <w:rPr>
                <w:rFonts w:ascii="Courier New" w:cs="Courier New" w:eastAsia="Courier New" w:hAnsi="Courier New"/>
                <w:color w:val="6B2A8A"/>
                <w:sz w:val="18"/>
                <w:szCs w:val="18"/>
              </w:rPr>
              <w:t xml:space="preserve">Contact</w:t>
            </w:r>
            <w:r>
              <w:rPr>
                <w:rFonts w:ascii="Arial" w:cs="Arial" w:eastAsia="Arial" w:hAnsi="Arial"/>
                <w:sz w:val="20"/>
                <w:szCs w:val="20"/>
              </w:rPr>
              <w:t xml:space="preserve">). The DE name is typically the Salesforce object label as configured by the connector.</w:t>
            </w:r>
          </w:p>
          <w:p>
            <w:pPr>
              <w:pStyle w:val="ListParagraph"/>
              <w:numPr>
                <w:ilvl w:val="0"/>
                <w:numId w:val="3"/>
              </w:numPr>
              <w:spacing w:after="100"/>
            </w:pPr>
            <w:r>
              <w:rPr>
                <w:rFonts w:ascii="Arial" w:cs="Arial" w:eastAsia="Arial" w:hAnsi="Arial"/>
                <w:sz w:val="20"/>
                <w:szCs w:val="20"/>
              </w:rPr>
              <w:t xml:space="preserve">Open the DE and click the </w:t>
            </w:r>
            <w:r>
              <w:rPr>
                <w:rFonts w:ascii="Arial" w:cs="Arial" w:eastAsia="Arial" w:hAnsi="Arial"/>
                <w:b/>
                <w:bCs/>
                <w:sz w:val="20"/>
                <w:szCs w:val="20"/>
              </w:rPr>
              <w:t xml:space="preserve">Fields</w:t>
            </w:r>
            <w:r>
              <w:rPr>
                <w:rFonts w:ascii="Arial" w:cs="Arial" w:eastAsia="Arial" w:hAnsi="Arial"/>
                <w:sz w:val="20"/>
                <w:szCs w:val="20"/>
              </w:rPr>
              <w:t xml:space="preserve"> tab to see all columns currently mapped.</w:t>
            </w:r>
          </w:p>
          <w:p>
            <w:pPr>
              <w:pStyle w:val="ListParagraph"/>
              <w:numPr>
                <w:ilvl w:val="0"/>
                <w:numId w:val="3"/>
              </w:numPr>
              <w:spacing w:after="100"/>
            </w:pPr>
            <w:r>
              <w:rPr>
                <w:rFonts w:ascii="Arial" w:cs="Arial" w:eastAsia="Arial" w:hAnsi="Arial"/>
                <w:sz w:val="20"/>
                <w:szCs w:val="20"/>
              </w:rPr>
              <w:t xml:space="preserve">Record the exact column names present. You will compare these against the field list from Step 1 in the next step.</w:t>
            </w:r>
          </w:p>
          <w:p>
            <w:pPr>
              <w:pStyle w:val="ListParagraph"/>
              <w:numPr>
                <w:ilvl w:val="0"/>
                <w:numId w:val="3"/>
              </w:numPr>
              <w:spacing w:after="100"/>
            </w:pPr>
            <w:r>
              <w:rPr>
                <w:rFonts w:ascii="Arial" w:cs="Arial" w:eastAsia="Arial" w:hAnsi="Arial"/>
                <w:sz w:val="20"/>
                <w:szCs w:val="20"/>
              </w:rPr>
              <w:t xml:space="preserve">Also record the </w:t>
            </w:r>
            <w:r>
              <w:rPr>
                <w:rFonts w:ascii="Arial" w:cs="Arial" w:eastAsia="Arial" w:hAnsi="Arial"/>
                <w:b/>
                <w:bCs/>
                <w:sz w:val="20"/>
                <w:szCs w:val="20"/>
              </w:rPr>
              <w:t xml:space="preserve">exact DE name as it appears in Contact Builder</w:t>
            </w:r>
            <w:r>
              <w:rPr>
                <w:rFonts w:ascii="Arial" w:cs="Arial" w:eastAsia="Arial" w:hAnsi="Arial"/>
                <w:sz w:val="20"/>
                <w:szCs w:val="20"/>
              </w:rPr>
              <w:t xml:space="preserve"> — you will need it with the </w:t>
            </w:r>
            <w:r>
              <w:rPr>
                <w:rFonts w:ascii="Courier New" w:cs="Courier New" w:eastAsia="Courier New" w:hAnsi="Courier New"/>
                <w:color w:val="6B2A8A"/>
                <w:sz w:val="18"/>
                <w:szCs w:val="18"/>
              </w:rPr>
              <w:t xml:space="preserve">ENT.</w:t>
            </w:r>
            <w:r>
              <w:rPr>
                <w:rFonts w:ascii="Arial" w:cs="Arial" w:eastAsia="Arial" w:hAnsi="Arial"/>
                <w:sz w:val="20"/>
                <w:szCs w:val="20"/>
              </w:rPr>
              <w:t xml:space="preserve"> prefix in the sync validator configuration (e.g. if the DE is named </w:t>
            </w:r>
            <w:r>
              <w:rPr>
                <w:rFonts w:ascii="Courier New" w:cs="Courier New" w:eastAsia="Courier New" w:hAnsi="Courier New"/>
                <w:color w:val="6B2A8A"/>
                <w:sz w:val="18"/>
                <w:szCs w:val="18"/>
              </w:rPr>
              <w:t xml:space="preserve">Contact_Salesforce_13</w:t>
            </w:r>
            <w:r>
              <w:rPr>
                <w:rFonts w:ascii="Arial" w:cs="Arial" w:eastAsia="Arial" w:hAnsi="Arial"/>
                <w:sz w:val="20"/>
                <w:szCs w:val="20"/>
              </w:rPr>
              <w:t xml:space="preserve">, you will enter </w:t>
            </w:r>
            <w:r>
              <w:rPr>
                <w:rFonts w:ascii="Courier New" w:cs="Courier New" w:eastAsia="Courier New" w:hAnsi="Courier New"/>
                <w:color w:val="6B2A8A"/>
                <w:sz w:val="18"/>
                <w:szCs w:val="18"/>
              </w:rPr>
              <w:t xml:space="preserve">ENT.Contact_Salesforce_13</w:t>
            </w:r>
            <w:r>
              <w:rPr>
                <w:rFonts w:ascii="Arial" w:cs="Arial" w:eastAsia="Arial" w:hAnsi="Arial"/>
                <w:sz w:val="20"/>
                <w:szCs w:val="20"/>
              </w:rPr>
              <w:t xml:space="preser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A0" w:sz="4"/>
              <w:left w:val="single" w:color="0033A0" w:sz="4"/>
              <w:bottom w:val="single" w:color="0033A0" w:sz="4"/>
              <w:right w:val="single" w:color="0033A0" w:sz="4"/>
            </w:tcBorders>
            <w:shd w:fill="FFF3CD" w:val="clear"/>
            <w:tcMar>
              <w:top w:type="dxa" w:w="120"/>
              <w:left w:type="dxa" w:w="160"/>
              <w:bottom w:type="dxa" w:w="120"/>
              <w:right w:type="dxa" w:w="160"/>
            </w:tcMar>
          </w:tcPr>
          <w:p>
            <w:pPr>
              <w:spacing w:after="60"/>
            </w:pPr>
            <w:r>
              <w:rPr>
                <w:rFonts w:ascii="Arial" w:cs="Arial" w:eastAsia="Arial" w:hAnsi="Arial"/>
                <w:b/>
                <w:bCs/>
                <w:color w:val="BB5500"/>
                <w:sz w:val="20"/>
                <w:szCs w:val="20"/>
              </w:rPr>
              <w:t xml:space="preserve">⚠️  ENT. prefix required on all synced DE references</w:t>
            </w:r>
          </w:p>
          <w:p>
            <w:pPr>
              <w:spacing w:after="60"/>
            </w:pPr>
            <w:r>
              <w:rPr>
                <w:rFonts w:ascii="Arial" w:cs="Arial" w:eastAsia="Arial" w:hAnsi="Arial"/>
                <w:sz w:val="20"/>
                <w:szCs w:val="20"/>
              </w:rPr>
              <w:t xml:space="preserve">Verified in production: LookupRows() on a synchronized DE fails silently — returns 0 rows — without the ENT. prefix, even when the DE external key appears to match. This affects the Phase 3 validator configuration AND every LookupRows call in the Phase 5 child relay pages. Always use the ENT. prefix: LookupRows("ENT.Contact_Salesforce_13", ...) not LookupRows("Contact_Salesforce_13",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A0" w:sz="4"/>
              <w:left w:val="single" w:color="0033A0" w:sz="4"/>
              <w:bottom w:val="single" w:color="0033A0" w:sz="4"/>
              <w:right w:val="single" w:color="0033A0" w:sz="4"/>
            </w:tcBorders>
            <w:shd w:fill="D9E6F2" w:val="clear"/>
            <w:tcMar>
              <w:top w:type="dxa" w:w="120"/>
              <w:left w:type="dxa" w:w="160"/>
              <w:bottom w:type="dxa" w:w="120"/>
              <w:right w:type="dxa" w:w="160"/>
            </w:tcMar>
          </w:tcPr>
          <w:p>
            <w:pPr>
              <w:spacing w:after="60"/>
            </w:pPr>
            <w:r>
              <w:rPr>
                <w:rFonts w:ascii="Arial" w:cs="Arial" w:eastAsia="Arial" w:hAnsi="Arial"/>
                <w:b/>
                <w:bCs/>
                <w:color w:val="003B75"/>
                <w:sz w:val="20"/>
                <w:szCs w:val="20"/>
              </w:rPr>
              <w:t xml:space="preserve">If the synced DE doesn’t exist yet</w:t>
            </w:r>
          </w:p>
          <w:p>
            <w:pPr>
              <w:spacing w:after="60"/>
            </w:pPr>
            <w:r>
              <w:rPr>
                <w:rFonts w:ascii="Arial" w:cs="Arial" w:eastAsia="Arial" w:hAnsi="Arial"/>
                <w:sz w:val="20"/>
                <w:szCs w:val="20"/>
              </w:rPr>
              <w:t xml:space="preserve">If no synchronized DE exists for the HR org, the Marketing Cloud Connect sync has not been configured. You must complete connector setup in the HR Salesforce org (Salesforce Setup → Marketing Cloud → Integration) and allow the initial sync to run before proceeding. This is a prerequisite — pause here and engage the Salesforce administrator.</w:t>
            </w:r>
          </w:p>
        </w:tc>
      </w:tr>
    </w:tbl>
    <w:p>
      <w:pPr>
        <w:spacing w:after="200"/>
      </w:pPr>
      <w:r>
        <w:t xml:space="preserve"/>
      </w:r>
    </w:p>
    <w:p>
      <w:pPr>
        <w:pBdr>
          <w:bottom w:val="single" w:color="0033A0" w:sz="6" w:space="1"/>
        </w:pBdr>
        <w:spacing w:after="120" w:before="120"/>
      </w:pPr>
      <w:r>
        <w:t xml:space="preserve"/>
      </w:r>
    </w:p>
    <w:p>
      <w:pPr>
        <w:spacing w:after="120"/>
      </w:pPr>
      <w:r>
        <w:t xml:space="preserve"/>
      </w:r>
    </w:p>
    <w:p>
      <w:pPr>
        <w:pStyle w:val="Heading1"/>
        <w:spacing w:after="160" w:before="320"/>
      </w:pPr>
      <w:r>
        <w:rPr>
          <w:rFonts w:ascii="Arial" w:cs="Arial" w:eastAsia="Arial" w:hAnsi="Arial"/>
          <w:b/>
          <w:bCs/>
          <w:color w:val="003B75"/>
          <w:sz w:val="28"/>
          <w:szCs w:val="28"/>
        </w:rPr>
        <w:t xml:space="preserve">Step 3 — Verify Field Columns Are Mapped</w:t>
      </w:r>
    </w:p>
    <w:p>
      <w:pPr>
        <w:spacing w:after="120"/>
      </w:pPr>
      <w:r>
        <w:rPr>
          <w:rFonts w:ascii="Arial" w:cs="Arial" w:eastAsia="Arial" w:hAnsi="Arial"/>
          <w:sz w:val="20"/>
          <w:szCs w:val="20"/>
        </w:rPr>
        <w:t xml:space="preserve">Cross-reference the registered field list from Step 1 against the columns in the synced DE from Step 2. Every registered field must appear as a column in the synced 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3B75" w:val="clear"/>
            <w:tcMar>
              <w:top w:type="dxa" w:w="100"/>
              <w:left w:type="dxa" w:w="160"/>
              <w:bottom w:type="dxa" w:w="100"/>
              <w:right w:type="dxa" w:w="160"/>
            </w:tcMar>
          </w:tcPr>
          <w:p>
            <w:pPr>
              <w:spacing w:after="80"/>
            </w:pPr>
            <w:r>
              <w:rPr>
                <w:rFonts w:ascii="Arial" w:cs="Arial" w:eastAsia="Arial" w:hAnsi="Arial"/>
                <w:b/>
                <w:bCs/>
                <w:color w:val="FFFFFF"/>
                <w:sz w:val="20"/>
                <w:szCs w:val="20"/>
              </w:rPr>
              <w:t xml:space="preserve">Step 3: </w:t>
            </w:r>
            <w:r>
              <w:rPr>
                <w:rFonts w:ascii="Arial" w:cs="Arial" w:eastAsia="Arial" w:hAnsi="Arial"/>
                <w:b/>
                <w:bCs/>
                <w:color w:val="FFFFFF"/>
                <w:sz w:val="20"/>
                <w:szCs w:val="20"/>
              </w:rPr>
              <w:t xml:space="preserve">Match registered fields to synced DE columns</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pStyle w:val="ListParagraph"/>
              <w:numPr>
                <w:ilvl w:val="0"/>
                <w:numId w:val="3"/>
              </w:numPr>
              <w:spacing w:after="100"/>
            </w:pPr>
            <w:r>
              <w:rPr>
                <w:rFonts w:ascii="Arial" w:cs="Arial" w:eastAsia="Arial" w:hAnsi="Arial"/>
                <w:sz w:val="20"/>
                <w:szCs w:val="20"/>
              </w:rPr>
              <w:t xml:space="preserve">For each registered field (from Step 1), confirm its FieldAPIName appears as a column in the synced DE.</w:t>
            </w:r>
          </w:p>
          <w:p>
            <w:pPr>
              <w:pStyle w:val="ListParagraph"/>
              <w:numPr>
                <w:ilvl w:val="0"/>
                <w:numId w:val="3"/>
              </w:numPr>
              <w:spacing w:after="100"/>
            </w:pPr>
            <w:r>
              <w:rPr>
                <w:rFonts w:ascii="Arial" w:cs="Arial" w:eastAsia="Arial" w:hAnsi="Arial"/>
                <w:sz w:val="20"/>
                <w:szCs w:val="20"/>
              </w:rPr>
              <w:t xml:space="preserve">If a column is </w:t>
            </w:r>
            <w:r>
              <w:rPr>
                <w:rFonts w:ascii="Arial" w:cs="Arial" w:eastAsia="Arial" w:hAnsi="Arial"/>
                <w:b/>
                <w:bCs/>
                <w:color w:val="1D7A2E"/>
                <w:sz w:val="20"/>
                <w:szCs w:val="20"/>
              </w:rPr>
              <w:t xml:space="preserve">present</w:t>
            </w:r>
            <w:r>
              <w:rPr>
                <w:rFonts w:ascii="Arial" w:cs="Arial" w:eastAsia="Arial" w:hAnsi="Arial"/>
                <w:sz w:val="20"/>
                <w:szCs w:val="20"/>
              </w:rPr>
              <w:t xml:space="preserve">: no action needed. Proceed.</w:t>
            </w:r>
          </w:p>
          <w:p>
            <w:pPr>
              <w:pStyle w:val="ListParagraph"/>
              <w:numPr>
                <w:ilvl w:val="0"/>
                <w:numId w:val="3"/>
              </w:numPr>
              <w:spacing w:after="100"/>
            </w:pPr>
            <w:r>
              <w:rPr>
                <w:rFonts w:ascii="Arial" w:cs="Arial" w:eastAsia="Arial" w:hAnsi="Arial"/>
                <w:sz w:val="20"/>
                <w:szCs w:val="20"/>
              </w:rPr>
              <w:t xml:space="preserve">If a column is </w:t>
            </w:r>
            <w:r>
              <w:rPr>
                <w:rFonts w:ascii="Arial" w:cs="Arial" w:eastAsia="Arial" w:hAnsi="Arial"/>
                <w:b/>
                <w:bCs/>
                <w:color w:val="BB5500"/>
                <w:sz w:val="20"/>
                <w:szCs w:val="20"/>
              </w:rPr>
              <w:t xml:space="preserve">missing</w:t>
            </w:r>
            <w:r>
              <w:rPr>
                <w:rFonts w:ascii="Arial" w:cs="Arial" w:eastAsia="Arial" w:hAnsi="Arial"/>
                <w:sz w:val="20"/>
                <w:szCs w:val="20"/>
              </w:rPr>
              <w:t xml:space="preserve">: the field must be added to the connector sync configuration. See Step 3a below.</w:t>
            </w:r>
          </w:p>
        </w:tc>
      </w:tr>
    </w:tbl>
    <w:p>
      <w:pPr>
        <w:spacing w:after="100"/>
      </w:pPr>
      <w:r>
        <w:t xml:space="preserve"/>
      </w:r>
    </w:p>
    <w:p>
      <w:pPr>
        <w:pStyle w:val="Heading3"/>
        <w:spacing w:after="80" w:before="180"/>
      </w:pPr>
      <w:r>
        <w:rPr>
          <w:rFonts w:ascii="Arial" w:cs="Arial" w:eastAsia="Arial" w:hAnsi="Arial"/>
          <w:b/>
          <w:bCs/>
          <w:color w:val="444444"/>
          <w:sz w:val="22"/>
          <w:szCs w:val="22"/>
        </w:rPr>
        <w:t xml:space="preserve">Step 3a — Adding a missing field to the connector sync</w:t>
      </w:r>
    </w:p>
    <w:p>
      <w:pPr>
        <w:spacing w:after="120"/>
      </w:pPr>
      <w:r>
        <w:rPr>
          <w:rFonts w:ascii="Arial" w:cs="Arial" w:eastAsia="Arial" w:hAnsi="Arial"/>
          <w:sz w:val="20"/>
          <w:szCs w:val="20"/>
        </w:rPr>
        <w:t xml:space="preserve">Perform this sub-step only for fields that are missing from the synced DE.</w:t>
      </w:r>
    </w:p>
    <w:p>
      <w:pPr>
        <w:pStyle w:val="ListParagraph"/>
        <w:numPr>
          <w:ilvl w:val="0"/>
          <w:numId w:val="3"/>
        </w:numPr>
        <w:spacing w:after="100"/>
      </w:pPr>
      <w:r>
        <w:rPr>
          <w:rFonts w:ascii="Arial" w:cs="Arial" w:eastAsia="Arial" w:hAnsi="Arial"/>
          <w:sz w:val="20"/>
          <w:szCs w:val="20"/>
        </w:rPr>
        <w:t xml:space="preserve">In the </w:t>
      </w:r>
      <w:r>
        <w:rPr>
          <w:rFonts w:ascii="Arial" w:cs="Arial" w:eastAsia="Arial" w:hAnsi="Arial"/>
          <w:b/>
          <w:bCs/>
          <w:sz w:val="20"/>
          <w:szCs w:val="20"/>
        </w:rPr>
        <w:t xml:space="preserve">HR Salesforce org</w:t>
      </w:r>
      <w:r>
        <w:rPr>
          <w:rFonts w:ascii="Arial" w:cs="Arial" w:eastAsia="Arial" w:hAnsi="Arial"/>
          <w:sz w:val="20"/>
          <w:szCs w:val="20"/>
        </w:rPr>
        <w:t xml:space="preserve"> (not Marketing Cloud), navigate to </w:t>
      </w:r>
      <w:r>
        <w:rPr>
          <w:rFonts w:ascii="Arial" w:cs="Arial" w:eastAsia="Arial" w:hAnsi="Arial"/>
          <w:b/>
          <w:bCs/>
          <w:sz w:val="20"/>
          <w:szCs w:val="20"/>
        </w:rPr>
        <w:t xml:space="preserve">Setup → Marketing Cloud → Integration</w:t>
      </w:r>
      <w:r>
        <w:rPr>
          <w:rFonts w:ascii="Arial" w:cs="Arial" w:eastAsia="Arial" w:hAnsi="Arial"/>
          <w:sz w:val="20"/>
          <w:szCs w:val="20"/>
        </w:rPr>
        <w:t xml:space="preserve">.</w:t>
      </w:r>
    </w:p>
    <w:p>
      <w:pPr>
        <w:pStyle w:val="ListParagraph"/>
        <w:numPr>
          <w:ilvl w:val="0"/>
          <w:numId w:val="3"/>
        </w:numPr>
        <w:spacing w:after="100"/>
      </w:pPr>
      <w:r>
        <w:rPr>
          <w:rFonts w:ascii="Arial" w:cs="Arial" w:eastAsia="Arial" w:hAnsi="Arial"/>
          <w:sz w:val="20"/>
          <w:szCs w:val="20"/>
        </w:rPr>
        <w:t xml:space="preserve">Locate the sync configuration for the relevant object (e.g., Contact).</w:t>
      </w:r>
    </w:p>
    <w:p>
      <w:pPr>
        <w:pStyle w:val="ListParagraph"/>
        <w:numPr>
          <w:ilvl w:val="0"/>
          <w:numId w:val="3"/>
        </w:numPr>
        <w:spacing w:after="100"/>
      </w:pPr>
      <w:r>
        <w:rPr>
          <w:rFonts w:ascii="Arial" w:cs="Arial" w:eastAsia="Arial" w:hAnsi="Arial"/>
          <w:sz w:val="20"/>
          <w:szCs w:val="20"/>
        </w:rPr>
        <w:t xml:space="preserve">Click </w:t>
      </w:r>
      <w:r>
        <w:rPr>
          <w:rFonts w:ascii="Arial" w:cs="Arial" w:eastAsia="Arial" w:hAnsi="Arial"/>
          <w:b/>
          <w:bCs/>
          <w:sz w:val="20"/>
          <w:szCs w:val="20"/>
        </w:rPr>
        <w:t xml:space="preserve">Edit</w:t>
      </w:r>
      <w:r>
        <w:rPr>
          <w:rFonts w:ascii="Arial" w:cs="Arial" w:eastAsia="Arial" w:hAnsi="Arial"/>
          <w:sz w:val="20"/>
          <w:szCs w:val="20"/>
        </w:rPr>
        <w:t xml:space="preserve"> on the field mapping for that object.</w:t>
      </w:r>
    </w:p>
    <w:p>
      <w:pPr>
        <w:pStyle w:val="ListParagraph"/>
        <w:numPr>
          <w:ilvl w:val="0"/>
          <w:numId w:val="3"/>
        </w:numPr>
        <w:spacing w:after="100"/>
      </w:pPr>
      <w:r>
        <w:rPr>
          <w:rFonts w:ascii="Arial" w:cs="Arial" w:eastAsia="Arial" w:hAnsi="Arial"/>
          <w:sz w:val="20"/>
          <w:szCs w:val="20"/>
        </w:rPr>
        <w:t xml:space="preserve">Find the field by API name and enable it for sync. Save.</w:t>
      </w:r>
    </w:p>
    <w:p>
      <w:pPr>
        <w:pStyle w:val="ListParagraph"/>
        <w:numPr>
          <w:ilvl w:val="0"/>
          <w:numId w:val="3"/>
        </w:numPr>
        <w:spacing w:after="100"/>
      </w:pPr>
      <w:r>
        <w:rPr>
          <w:rFonts w:ascii="Arial" w:cs="Arial" w:eastAsia="Arial" w:hAnsi="Arial"/>
          <w:sz w:val="20"/>
          <w:szCs w:val="20"/>
        </w:rPr>
        <w:t xml:space="preserve">Trigger a manual sync or wait for the next scheduled run. Columns are added to the synced DE during the next sync cycle.</w:t>
      </w:r>
    </w:p>
    <w:p>
      <w:pPr>
        <w:pStyle w:val="ListParagraph"/>
        <w:numPr>
          <w:ilvl w:val="0"/>
          <w:numId w:val="3"/>
        </w:numPr>
        <w:spacing w:after="100"/>
      </w:pPr>
      <w:r>
        <w:rPr>
          <w:rFonts w:ascii="Arial" w:cs="Arial" w:eastAsia="Arial" w:hAnsi="Arial"/>
          <w:sz w:val="20"/>
          <w:szCs w:val="20"/>
        </w:rPr>
        <w:t xml:space="preserve">Return to Contact Builder and confirm the column now appears on the HR synced 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A0" w:sz="4"/>
              <w:left w:val="single" w:color="0033A0" w:sz="4"/>
              <w:bottom w:val="single" w:color="0033A0" w:sz="4"/>
              <w:right w:val="single" w:color="0033A0" w:sz="4"/>
            </w:tcBorders>
            <w:shd w:fill="FFF3CD" w:val="clear"/>
            <w:tcMar>
              <w:top w:type="dxa" w:w="120"/>
              <w:left w:type="dxa" w:w="160"/>
              <w:bottom w:type="dxa" w:w="120"/>
              <w:right w:type="dxa" w:w="160"/>
            </w:tcMar>
          </w:tcPr>
          <w:p>
            <w:pPr>
              <w:spacing w:after="60"/>
            </w:pPr>
            <w:r>
              <w:rPr>
                <w:rFonts w:ascii="Arial" w:cs="Arial" w:eastAsia="Arial" w:hAnsi="Arial"/>
                <w:b/>
                <w:bCs/>
                <w:color w:val="BB5500"/>
                <w:sz w:val="20"/>
                <w:szCs w:val="20"/>
              </w:rPr>
              <w:t xml:space="preserve">⚠️  Sync columns cannot be added from inside Marketing Cloud</w:t>
            </w:r>
          </w:p>
          <w:p>
            <w:pPr>
              <w:spacing w:after="60"/>
            </w:pPr>
            <w:r>
              <w:rPr>
                <w:rFonts w:ascii="Arial" w:cs="Arial" w:eastAsia="Arial" w:hAnsi="Arial"/>
                <w:sz w:val="20"/>
                <w:szCs w:val="20"/>
              </w:rPr>
              <w:t xml:space="preserve">The synchronized DE schema is controlled by the Salesforce-side connector configuration. You cannot add columns directly in Contact Builder. Any missing columns must be added in Salesforce Setup first, then synced into Marketing Cloud.</w:t>
            </w:r>
          </w:p>
        </w:tc>
      </w:tr>
    </w:tbl>
    <w:p>
      <w:pPr>
        <w:spacing w:after="200"/>
      </w:pPr>
      <w:r>
        <w:t xml:space="preserve"/>
      </w:r>
    </w:p>
    <w:p>
      <w:pPr>
        <w:pBdr>
          <w:bottom w:val="single" w:color="0033A0" w:sz="6" w:space="1"/>
        </w:pBdr>
        <w:spacing w:after="120" w:before="120"/>
      </w:pPr>
      <w:r>
        <w:t xml:space="preserve"/>
      </w:r>
    </w:p>
    <w:p>
      <w:pPr>
        <w:spacing w:after="120"/>
      </w:pPr>
      <w:r>
        <w:t xml:space="preserve"/>
      </w:r>
    </w:p>
    <w:p>
      <w:pPr>
        <w:pStyle w:val="Heading1"/>
        <w:spacing w:after="160" w:before="320"/>
      </w:pPr>
      <w:r>
        <w:rPr>
          <w:rFonts w:ascii="Arial" w:cs="Arial" w:eastAsia="Arial" w:hAnsi="Arial"/>
          <w:b/>
          <w:bCs/>
          <w:color w:val="003B75"/>
          <w:sz w:val="28"/>
          <w:szCs w:val="28"/>
        </w:rPr>
        <w:t xml:space="preserve">Step 4 — Validate the Sync Is Active and Cadence Is Correct</w:t>
      </w:r>
    </w:p>
    <w:p>
      <w:pPr>
        <w:spacing w:after="120"/>
      </w:pPr>
      <w:r>
        <w:rPr>
          <w:rFonts w:ascii="Arial" w:cs="Arial" w:eastAsia="Arial" w:hAnsi="Arial"/>
          <w:sz w:val="20"/>
          <w:szCs w:val="20"/>
        </w:rPr>
        <w:t xml:space="preserve">The preference center form reads data as of the last sync. The expected cadence is </w:t>
      </w:r>
      <w:r>
        <w:rPr>
          <w:rFonts w:ascii="Arial" w:cs="Arial" w:eastAsia="Arial" w:hAnsi="Arial"/>
          <w:b/>
          <w:bCs/>
          <w:sz w:val="20"/>
          <w:szCs w:val="20"/>
        </w:rPr>
        <w:t xml:space="preserve">approximately 15 minutes</w:t>
      </w:r>
      <w:r>
        <w:rPr>
          <w:rFonts w:ascii="Arial" w:cs="Arial" w:eastAsia="Arial" w:hAnsi="Arial"/>
          <w:sz w:val="20"/>
          <w:szCs w:val="20"/>
        </w:rPr>
        <w:t xml:space="preserve">. Confirm this is operating correctly.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3B75" w:val="clear"/>
            <w:tcMar>
              <w:top w:type="dxa" w:w="100"/>
              <w:left w:type="dxa" w:w="160"/>
              <w:bottom w:type="dxa" w:w="100"/>
              <w:right w:type="dxa" w:w="160"/>
            </w:tcMar>
          </w:tcPr>
          <w:p>
            <w:pPr>
              <w:spacing w:after="80"/>
            </w:pPr>
            <w:r>
              <w:rPr>
                <w:rFonts w:ascii="Arial" w:cs="Arial" w:eastAsia="Arial" w:hAnsi="Arial"/>
                <w:b/>
                <w:bCs/>
                <w:color w:val="FFFFFF"/>
                <w:sz w:val="20"/>
                <w:szCs w:val="20"/>
              </w:rPr>
              <w:t xml:space="preserve">Step 4: </w:t>
            </w:r>
            <w:r>
              <w:rPr>
                <w:rFonts w:ascii="Arial" w:cs="Arial" w:eastAsia="Arial" w:hAnsi="Arial"/>
                <w:b/>
                <w:bCs/>
                <w:color w:val="FFFFFF"/>
                <w:sz w:val="20"/>
                <w:szCs w:val="20"/>
              </w:rPr>
              <w:t xml:space="preserve">Confirm sync health and cadence</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pStyle w:val="ListParagraph"/>
              <w:numPr>
                <w:ilvl w:val="0"/>
                <w:numId w:val="3"/>
              </w:numPr>
              <w:spacing w:after="100"/>
            </w:pPr>
            <w:r>
              <w:rPr>
                <w:rFonts w:ascii="Arial" w:cs="Arial" w:eastAsia="Arial" w:hAnsi="Arial"/>
                <w:sz w:val="20"/>
                <w:szCs w:val="20"/>
              </w:rPr>
              <w:t xml:space="preserve">In the </w:t>
            </w:r>
            <w:r>
              <w:rPr>
                <w:rFonts w:ascii="Arial" w:cs="Arial" w:eastAsia="Arial" w:hAnsi="Arial"/>
                <w:b/>
                <w:bCs/>
                <w:sz w:val="20"/>
                <w:szCs w:val="20"/>
              </w:rPr>
              <w:t xml:space="preserve">HR Salesforce org</w:t>
            </w:r>
            <w:r>
              <w:rPr>
                <w:rFonts w:ascii="Arial" w:cs="Arial" w:eastAsia="Arial" w:hAnsi="Arial"/>
                <w:sz w:val="20"/>
                <w:szCs w:val="20"/>
              </w:rPr>
              <w:t xml:space="preserve">, navigate to </w:t>
            </w:r>
            <w:r>
              <w:rPr>
                <w:rFonts w:ascii="Arial" w:cs="Arial" w:eastAsia="Arial" w:hAnsi="Arial"/>
                <w:b/>
                <w:bCs/>
                <w:sz w:val="20"/>
                <w:szCs w:val="20"/>
              </w:rPr>
              <w:t xml:space="preserve">Setup → Marketing Cloud → Integration → Sync Status</w:t>
            </w:r>
            <w:r>
              <w:rPr>
                <w:rFonts w:ascii="Arial" w:cs="Arial" w:eastAsia="Arial" w:hAnsi="Arial"/>
                <w:sz w:val="20"/>
                <w:szCs w:val="20"/>
              </w:rPr>
              <w:t xml:space="preserve">.</w:t>
            </w:r>
          </w:p>
          <w:p>
            <w:pPr>
              <w:pStyle w:val="ListParagraph"/>
              <w:numPr>
                <w:ilvl w:val="0"/>
                <w:numId w:val="3"/>
              </w:numPr>
              <w:spacing w:after="100"/>
            </w:pPr>
            <w:r>
              <w:rPr>
                <w:rFonts w:ascii="Arial" w:cs="Arial" w:eastAsia="Arial" w:hAnsi="Arial"/>
                <w:sz w:val="20"/>
                <w:szCs w:val="20"/>
              </w:rPr>
              <w:t xml:space="preserve">Confirm the sync status shows </w:t>
            </w:r>
            <w:r>
              <w:rPr>
                <w:rFonts w:ascii="Arial" w:cs="Arial" w:eastAsia="Arial" w:hAnsi="Arial"/>
                <w:b/>
                <w:bCs/>
                <w:color w:val="1D7A2E"/>
                <w:sz w:val="20"/>
                <w:szCs w:val="20"/>
              </w:rPr>
              <w:t xml:space="preserve">Active</w:t>
            </w:r>
            <w:r>
              <w:rPr>
                <w:rFonts w:ascii="Arial" w:cs="Arial" w:eastAsia="Arial" w:hAnsi="Arial"/>
                <w:sz w:val="20"/>
                <w:szCs w:val="20"/>
              </w:rPr>
              <w:t xml:space="preserve"> (not Paused, Stopped, or Error).</w:t>
            </w:r>
          </w:p>
          <w:p>
            <w:pPr>
              <w:pStyle w:val="ListParagraph"/>
              <w:numPr>
                <w:ilvl w:val="0"/>
                <w:numId w:val="3"/>
              </w:numPr>
              <w:spacing w:after="100"/>
            </w:pPr>
            <w:r>
              <w:rPr>
                <w:rFonts w:ascii="Arial" w:cs="Arial" w:eastAsia="Arial" w:hAnsi="Arial"/>
                <w:sz w:val="20"/>
                <w:szCs w:val="20"/>
              </w:rPr>
              <w:t xml:space="preserve">Check the Last Sync Timestamp. It should be within the last 15–20 minutes during business hours.</w:t>
            </w:r>
          </w:p>
          <w:p>
            <w:pPr>
              <w:pStyle w:val="ListParagraph"/>
              <w:numPr>
                <w:ilvl w:val="0"/>
                <w:numId w:val="3"/>
              </w:numPr>
              <w:spacing w:after="100"/>
            </w:pPr>
            <w:r>
              <w:rPr>
                <w:rFonts w:ascii="Arial" w:cs="Arial" w:eastAsia="Arial" w:hAnsi="Arial"/>
                <w:sz w:val="20"/>
                <w:szCs w:val="20"/>
              </w:rPr>
              <w:t xml:space="preserve">If the sync shows errors or a stale timestamp, engage the Salesforce administrator to investigate the connector health before proceeding.</w:t>
            </w:r>
          </w:p>
          <w:p>
            <w:pPr>
              <w:pStyle w:val="ListParagraph"/>
              <w:numPr>
                <w:ilvl w:val="0"/>
                <w:numId w:val="3"/>
              </w:numPr>
              <w:spacing w:after="100"/>
            </w:pPr>
            <w:r>
              <w:rPr>
                <w:rFonts w:ascii="Arial" w:cs="Arial" w:eastAsia="Arial" w:hAnsi="Arial"/>
                <w:sz w:val="20"/>
                <w:szCs w:val="20"/>
              </w:rPr>
              <w:t xml:space="preserve">In Marketing Cloud Contact Builder, open the HR synced DE and click </w:t>
            </w:r>
            <w:r>
              <w:rPr>
                <w:rFonts w:ascii="Arial" w:cs="Arial" w:eastAsia="Arial" w:hAnsi="Arial"/>
                <w:b/>
                <w:bCs/>
                <w:sz w:val="20"/>
                <w:szCs w:val="20"/>
              </w:rPr>
              <w:t xml:space="preserve">Data</w:t>
            </w:r>
            <w:r>
              <w:rPr>
                <w:rFonts w:ascii="Arial" w:cs="Arial" w:eastAsia="Arial" w:hAnsi="Arial"/>
                <w:sz w:val="20"/>
                <w:szCs w:val="20"/>
              </w:rPr>
              <w:t xml:space="preserve">. Confirm rows are present and that data in the subscription preference columns is populated (True or False — not blank, unless the field is genuinely empty in CRM for that record).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A0" w:sz="4"/>
              <w:left w:val="single" w:color="0033A0" w:sz="4"/>
              <w:bottom w:val="single" w:color="0033A0" w:sz="4"/>
              <w:right w:val="single" w:color="0033A0" w:sz="4"/>
            </w:tcBorders>
            <w:shd w:fill="D9E6F2" w:val="clear"/>
            <w:tcMar>
              <w:top w:type="dxa" w:w="120"/>
              <w:left w:type="dxa" w:w="160"/>
              <w:bottom w:type="dxa" w:w="120"/>
              <w:right w:type="dxa" w:w="160"/>
            </w:tcMar>
          </w:tcPr>
          <w:p>
            <w:pPr>
              <w:spacing w:after="60"/>
            </w:pPr>
            <w:r>
              <w:rPr>
                <w:rFonts w:ascii="Arial" w:cs="Arial" w:eastAsia="Arial" w:hAnsi="Arial"/>
                <w:b/>
                <w:bCs/>
                <w:color w:val="003B75"/>
                <w:sz w:val="20"/>
                <w:szCs w:val="20"/>
              </w:rPr>
              <w:t xml:space="preserve">15-minute sync caveat</w:t>
            </w:r>
          </w:p>
          <w:p>
            <w:pPr>
              <w:spacing w:after="60"/>
            </w:pPr>
            <w:r>
              <w:rPr>
                <w:rFonts w:ascii="Arial" w:cs="Arial" w:eastAsia="Arial" w:hAnsi="Arial"/>
                <w:sz w:val="20"/>
                <w:szCs w:val="20"/>
              </w:rPr>
              <w:t xml:space="preserve">The 15-minute cadence is the configured refresh interval — actual timing may vary under load. Subscribers will always see preference data as of the most recent sync. Real-time CRM edits will not appear until the next cycle. This is expected behavior and is documented in the PRD.</w:t>
            </w:r>
          </w:p>
        </w:tc>
      </w:tr>
    </w:tbl>
    <w:p>
      <w:pPr>
        <w:spacing w:after="120"/>
      </w:pPr>
      <w:r>
        <w:t xml:space="preserve"/>
      </w:r>
    </w:p>
    <w:p>
      <w:pPr>
        <w:pStyle w:val="Heading3"/>
        <w:spacing w:after="80" w:before="180"/>
      </w:pPr>
      <w:r>
        <w:rPr>
          <w:rFonts w:ascii="Arial" w:cs="Arial" w:eastAsia="Arial" w:hAnsi="Arial"/>
          <w:b/>
          <w:bCs/>
          <w:color w:val="444444"/>
          <w:sz w:val="22"/>
          <w:szCs w:val="22"/>
        </w:rPr>
        <w:t xml:space="preserve">Step 4a — Verify Field-Level Security on the MC Connect User</w:t>
      </w:r>
    </w:p>
    <w:p>
      <w:pPr>
        <w:spacing w:after="120"/>
      </w:pPr>
      <w:r>
        <w:rPr>
          <w:rFonts w:ascii="Arial" w:cs="Arial" w:eastAsia="Arial" w:hAnsi="Arial"/>
          <w:sz w:val="20"/>
          <w:szCs w:val="20"/>
        </w:rPr>
        <w:t xml:space="preserve">A field can appear in the synced DE and pass all column checks but still fail silently on CRM writeback if the Marketing Cloud Connect running user lacks </w:t>
      </w:r>
      <w:r>
        <w:rPr>
          <w:rFonts w:ascii="Arial" w:cs="Arial" w:eastAsia="Arial" w:hAnsi="Arial"/>
          <w:b/>
          <w:bCs/>
          <w:sz w:val="20"/>
          <w:szCs w:val="20"/>
        </w:rPr>
        <w:t xml:space="preserve">write (Edit) access</w:t>
      </w:r>
      <w:r>
        <w:rPr>
          <w:rFonts w:ascii="Arial" w:cs="Arial" w:eastAsia="Arial" w:hAnsi="Arial"/>
          <w:sz w:val="20"/>
          <w:szCs w:val="20"/>
        </w:rPr>
        <w:t xml:space="preserve"> to the field in Salesforce. </w:t>
      </w:r>
      <w:r>
        <w:rPr>
          <w:rFonts w:ascii="Courier New" w:cs="Courier New" w:eastAsia="Courier New" w:hAnsi="Courier New"/>
          <w:color w:val="6B2A8A"/>
          <w:sz w:val="18"/>
          <w:szCs w:val="18"/>
        </w:rPr>
        <w:t xml:space="preserve">UpdateSingleSalesforceObject()</w:t>
      </w:r>
      <w:r>
        <w:rPr>
          <w:rFonts w:ascii="Arial" w:cs="Arial" w:eastAsia="Arial" w:hAnsi="Arial"/>
          <w:sz w:val="20"/>
          <w:szCs w:val="20"/>
        </w:rPr>
        <w:t xml:space="preserve"> returns 0 and the page appears to save successfully — but the CRM record is never updated. Verify FLS now, before reaching Phase 4.</w:t>
      </w:r>
    </w:p>
    <w:p>
      <w:pPr>
        <w:pStyle w:val="ListParagraph"/>
        <w:numPr>
          <w:ilvl w:val="0"/>
          <w:numId w:val="3"/>
        </w:numPr>
        <w:spacing w:after="100"/>
      </w:pPr>
      <w:r>
        <w:rPr>
          <w:rFonts w:ascii="Arial" w:cs="Arial" w:eastAsia="Arial" w:hAnsi="Arial"/>
          <w:sz w:val="20"/>
          <w:szCs w:val="20"/>
        </w:rPr>
        <w:t xml:space="preserve">In the HR Salesforce org, navigate to </w:t>
      </w:r>
      <w:r>
        <w:rPr>
          <w:rFonts w:ascii="Arial" w:cs="Arial" w:eastAsia="Arial" w:hAnsi="Arial"/>
          <w:b/>
          <w:bCs/>
          <w:sz w:val="20"/>
          <w:szCs w:val="20"/>
        </w:rPr>
        <w:t xml:space="preserve">Setup → Profiles</w:t>
      </w:r>
      <w:r>
        <w:rPr>
          <w:rFonts w:ascii="Arial" w:cs="Arial" w:eastAsia="Arial" w:hAnsi="Arial"/>
          <w:sz w:val="20"/>
          <w:szCs w:val="20"/>
        </w:rPr>
        <w:t xml:space="preserve"> (or Permission Sets, depending on how the MC Connect user is permissioned).</w:t>
      </w:r>
    </w:p>
    <w:p>
      <w:pPr>
        <w:pStyle w:val="ListParagraph"/>
        <w:numPr>
          <w:ilvl w:val="0"/>
          <w:numId w:val="3"/>
        </w:numPr>
        <w:spacing w:after="100"/>
      </w:pPr>
      <w:r>
        <w:rPr>
          <w:rFonts w:ascii="Arial" w:cs="Arial" w:eastAsia="Arial" w:hAnsi="Arial"/>
          <w:sz w:val="20"/>
          <w:szCs w:val="20"/>
        </w:rPr>
        <w:t xml:space="preserve">Locate the profile or permission set assigned to the Marketing Cloud Connect integration user.</w:t>
      </w:r>
    </w:p>
    <w:p>
      <w:pPr>
        <w:pStyle w:val="ListParagraph"/>
        <w:numPr>
          <w:ilvl w:val="0"/>
          <w:numId w:val="3"/>
        </w:numPr>
        <w:spacing w:after="100"/>
      </w:pPr>
      <w:r>
        <w:rPr>
          <w:rFonts w:ascii="Arial" w:cs="Arial" w:eastAsia="Arial" w:hAnsi="Arial"/>
          <w:sz w:val="20"/>
          <w:szCs w:val="20"/>
        </w:rPr>
        <w:t xml:space="preserve">Open </w:t>
      </w:r>
      <w:r>
        <w:rPr>
          <w:rFonts w:ascii="Arial" w:cs="Arial" w:eastAsia="Arial" w:hAnsi="Arial"/>
          <w:b/>
          <w:bCs/>
          <w:sz w:val="20"/>
          <w:szCs w:val="20"/>
        </w:rPr>
        <w:t xml:space="preserve">Field Permissions</w:t>
      </w:r>
      <w:r>
        <w:rPr>
          <w:rFonts w:ascii="Arial" w:cs="Arial" w:eastAsia="Arial" w:hAnsi="Arial"/>
          <w:sz w:val="20"/>
          <w:szCs w:val="20"/>
        </w:rPr>
        <w:t xml:space="preserve"> for the </w:t>
      </w:r>
      <w:r>
        <w:rPr>
          <w:rFonts w:ascii="Arial" w:cs="Arial" w:eastAsia="Arial" w:hAnsi="Arial"/>
          <w:b/>
          <w:bCs/>
          <w:sz w:val="20"/>
          <w:szCs w:val="20"/>
        </w:rPr>
        <w:t xml:space="preserve">Contact</w:t>
      </w:r>
      <w:r>
        <w:rPr>
          <w:rFonts w:ascii="Arial" w:cs="Arial" w:eastAsia="Arial" w:hAnsi="Arial"/>
          <w:sz w:val="20"/>
          <w:szCs w:val="20"/>
        </w:rPr>
        <w:t xml:space="preserve"> object.</w:t>
      </w:r>
    </w:p>
    <w:p>
      <w:pPr>
        <w:pStyle w:val="ListParagraph"/>
        <w:numPr>
          <w:ilvl w:val="0"/>
          <w:numId w:val="3"/>
        </w:numPr>
        <w:spacing w:after="100"/>
      </w:pPr>
      <w:r>
        <w:rPr>
          <w:rFonts w:ascii="Arial" w:cs="Arial" w:eastAsia="Arial" w:hAnsi="Arial"/>
          <w:sz w:val="20"/>
          <w:szCs w:val="20"/>
        </w:rPr>
        <w:t xml:space="preserve">Confirm both </w:t>
      </w:r>
      <w:r>
        <w:rPr>
          <w:rFonts w:ascii="Arial" w:cs="Arial" w:eastAsia="Arial" w:hAnsi="Arial"/>
          <w:b/>
          <w:bCs/>
          <w:sz w:val="20"/>
          <w:szCs w:val="20"/>
        </w:rPr>
        <w:t xml:space="preserve">Read Access</w:t>
      </w:r>
      <w:r>
        <w:rPr>
          <w:rFonts w:ascii="Arial" w:cs="Arial" w:eastAsia="Arial" w:hAnsi="Arial"/>
          <w:sz w:val="20"/>
          <w:szCs w:val="20"/>
        </w:rPr>
        <w:t xml:space="preserve"> and </w:t>
      </w:r>
      <w:r>
        <w:rPr>
          <w:rFonts w:ascii="Arial" w:cs="Arial" w:eastAsia="Arial" w:hAnsi="Arial"/>
          <w:b/>
          <w:bCs/>
          <w:sz w:val="20"/>
          <w:szCs w:val="20"/>
        </w:rPr>
        <w:t xml:space="preserve">Edit Access</w:t>
      </w:r>
      <w:r>
        <w:rPr>
          <w:rFonts w:ascii="Arial" w:cs="Arial" w:eastAsia="Arial" w:hAnsi="Arial"/>
          <w:sz w:val="20"/>
          <w:szCs w:val="20"/>
        </w:rPr>
        <w:t xml:space="preserve"> are enabled for every </w:t>
      </w:r>
      <w:r>
        <w:rPr>
          <w:rFonts w:ascii="Courier New" w:cs="Courier New" w:eastAsia="Courier New" w:hAnsi="Courier New"/>
          <w:color w:val="6B2A8A"/>
          <w:sz w:val="18"/>
          <w:szCs w:val="18"/>
        </w:rPr>
        <w:t xml:space="preserve">CommPref_*</w:t>
      </w:r>
      <w:r>
        <w:rPr>
          <w:rFonts w:ascii="Arial" w:cs="Arial" w:eastAsia="Arial" w:hAnsi="Arial"/>
          <w:sz w:val="20"/>
          <w:szCs w:val="20"/>
        </w:rPr>
        <w:t xml:space="preserve"> field registered in the admin tool.</w:t>
      </w:r>
    </w:p>
    <w:p>
      <w:pPr>
        <w:pStyle w:val="ListParagraph"/>
        <w:numPr>
          <w:ilvl w:val="0"/>
          <w:numId w:val="3"/>
        </w:numPr>
        <w:spacing w:after="100"/>
      </w:pPr>
      <w:r>
        <w:rPr>
          <w:rFonts w:ascii="Arial" w:cs="Arial" w:eastAsia="Arial" w:hAnsi="Arial"/>
          <w:sz w:val="20"/>
          <w:szCs w:val="20"/>
        </w:rPr>
        <w:t xml:space="preserve">Also confirm </w:t>
      </w:r>
      <w:r>
        <w:rPr>
          <w:rFonts w:ascii="Arial" w:cs="Arial" w:eastAsia="Arial" w:hAnsi="Arial"/>
          <w:b/>
          <w:bCs/>
          <w:sz w:val="20"/>
          <w:szCs w:val="20"/>
        </w:rPr>
        <w:t xml:space="preserve">Edit Access</w:t>
      </w:r>
      <w:r>
        <w:rPr>
          <w:rFonts w:ascii="Arial" w:cs="Arial" w:eastAsia="Arial" w:hAnsi="Arial"/>
          <w:sz w:val="20"/>
          <w:szCs w:val="20"/>
        </w:rPr>
        <w:t xml:space="preserve"> for </w:t>
      </w:r>
      <w:r>
        <w:rPr>
          <w:rFonts w:ascii="Courier New" w:cs="Courier New" w:eastAsia="Courier New" w:hAnsi="Courier New"/>
          <w:color w:val="6B2A8A"/>
          <w:sz w:val="18"/>
          <w:szCs w:val="18"/>
        </w:rPr>
        <w:t xml:space="preserve">HasOptedOutOfEmail</w:t>
      </w:r>
      <w:r>
        <w:rPr>
          <w:rFonts w:ascii="Arial" w:cs="Arial" w:eastAsia="Arial" w:hAnsi="Arial"/>
          <w:sz w:val="20"/>
          <w:szCs w:val="20"/>
        </w:rPr>
        <w:t xml:space="preserve"> and </w:t>
      </w:r>
      <w:r>
        <w:rPr>
          <w:rFonts w:ascii="Courier New" w:cs="Courier New" w:eastAsia="Courier New" w:hAnsi="Courier New"/>
          <w:color w:val="6B2A8A"/>
          <w:sz w:val="18"/>
          <w:szCs w:val="18"/>
        </w:rPr>
        <w:t xml:space="preserve">DoNotContact</w:t>
      </w:r>
      <w:r>
        <w:rPr>
          <w:rFonts w:ascii="Arial" w:cs="Arial" w:eastAsia="Arial" w:hAnsi="Arial"/>
          <w:sz w:val="20"/>
          <w:szCs w:val="20"/>
        </w:rPr>
        <w:t xml:space="preserve"> — these are written on global unsubscribe.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A0" w:sz="4"/>
              <w:left w:val="single" w:color="0033A0" w:sz="4"/>
              <w:bottom w:val="single" w:color="0033A0" w:sz="4"/>
              <w:right w:val="single" w:color="0033A0" w:sz="4"/>
            </w:tcBorders>
            <w:shd w:fill="FFF3CD" w:val="clear"/>
            <w:tcMar>
              <w:top w:type="dxa" w:w="120"/>
              <w:left w:type="dxa" w:w="160"/>
              <w:bottom w:type="dxa" w:w="120"/>
              <w:right w:type="dxa" w:w="160"/>
            </w:tcMar>
          </w:tcPr>
          <w:p>
            <w:pPr>
              <w:spacing w:after="60"/>
            </w:pPr>
            <w:r>
              <w:rPr>
                <w:rFonts w:ascii="Arial" w:cs="Arial" w:eastAsia="Arial" w:hAnsi="Arial"/>
                <w:b/>
                <w:bCs/>
                <w:color w:val="BB5500"/>
                <w:sz w:val="20"/>
                <w:szCs w:val="20"/>
              </w:rPr>
              <w:t xml:space="preserve">⚠️  FLS failure is invisible at the preference form level</w:t>
            </w:r>
          </w:p>
          <w:p>
            <w:pPr>
              <w:spacing w:after="60"/>
            </w:pPr>
            <w:r>
              <w:rPr>
                <w:rFonts w:ascii="Arial" w:cs="Arial" w:eastAsia="Arial" w:hAnsi="Arial"/>
                <w:sz w:val="20"/>
                <w:szCs w:val="20"/>
              </w:rPr>
              <w:t xml:space="preserve">If FLS is missing, the subscriber sees a confirmation screen and believes their preferences were saved. The CRM record is unchanged. There is no error thrown. Always verify FLS before launch — do not assume it is correct because the fields were just created.</w:t>
            </w:r>
          </w:p>
        </w:tc>
      </w:tr>
    </w:tbl>
    <w:p>
      <w:pPr>
        <w:spacing w:after="200"/>
      </w:pPr>
      <w:r>
        <w:t xml:space="preserve"/>
      </w:r>
    </w:p>
    <w:p>
      <w:pPr>
        <w:pBdr>
          <w:bottom w:val="single" w:color="0033A0" w:sz="6" w:space="1"/>
        </w:pBdr>
        <w:spacing w:after="120" w:before="120"/>
      </w:pPr>
      <w:r>
        <w:t xml:space="preserve"/>
      </w:r>
    </w:p>
    <w:p>
      <w:pPr>
        <w:spacing w:after="120"/>
      </w:pPr>
      <w:r>
        <w:t xml:space="preserve"/>
      </w:r>
    </w:p>
    <w:p>
      <w:pPr>
        <w:pStyle w:val="Heading1"/>
        <w:spacing w:after="160" w:before="320"/>
      </w:pPr>
      <w:r>
        <w:rPr>
          <w:rFonts w:ascii="Arial" w:cs="Arial" w:eastAsia="Arial" w:hAnsi="Arial"/>
          <w:b/>
          <w:bCs/>
          <w:color w:val="003B75"/>
          <w:sz w:val="28"/>
          <w:szCs w:val="28"/>
        </w:rPr>
        <w:t xml:space="preserve">Step 5 — Run the Phase 3 Sync Validation Cloud Page</w:t>
      </w:r>
    </w:p>
    <w:p>
      <w:pPr>
        <w:spacing w:after="120"/>
      </w:pPr>
      <w:r>
        <w:rPr>
          <w:rFonts w:ascii="Arial" w:cs="Arial" w:eastAsia="Arial" w:hAnsi="Arial"/>
          <w:sz w:val="20"/>
          <w:szCs w:val="20"/>
        </w:rPr>
        <w:t xml:space="preserve">A dedicated SSJS validation cloud page is provided alongside this guide (</w:t>
      </w:r>
      <w:r>
        <w:rPr>
          <w:rFonts w:ascii="Arial" w:cs="Arial" w:eastAsia="Arial" w:hAnsi="Arial"/>
          <w:b/>
          <w:bCs/>
          <w:sz w:val="20"/>
          <w:szCs w:val="20"/>
        </w:rPr>
        <w:t xml:space="preserve">phase3-sync-validator.html</w:t>
      </w:r>
      <w:r>
        <w:rPr>
          <w:rFonts w:ascii="Arial" w:cs="Arial" w:eastAsia="Arial" w:hAnsi="Arial"/>
          <w:sz w:val="20"/>
          <w:szCs w:val="20"/>
        </w:rPr>
        <w:t xml:space="preserve">). Publish it to the parent BU and run it once to produce a field-by-field validation report.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3B75" w:val="clear"/>
            <w:tcMar>
              <w:top w:type="dxa" w:w="100"/>
              <w:left w:type="dxa" w:w="160"/>
              <w:bottom w:type="dxa" w:w="100"/>
              <w:right w:type="dxa" w:w="160"/>
            </w:tcMar>
          </w:tcPr>
          <w:p>
            <w:pPr>
              <w:spacing w:after="80"/>
            </w:pPr>
            <w:r>
              <w:rPr>
                <w:rFonts w:ascii="Arial" w:cs="Arial" w:eastAsia="Arial" w:hAnsi="Arial"/>
                <w:b/>
                <w:bCs/>
                <w:color w:val="FFFFFF"/>
                <w:sz w:val="20"/>
                <w:szCs w:val="20"/>
              </w:rPr>
              <w:t xml:space="preserve">Step 5: </w:t>
            </w:r>
            <w:r>
              <w:rPr>
                <w:rFonts w:ascii="Arial" w:cs="Arial" w:eastAsia="Arial" w:hAnsi="Arial"/>
                <w:b/>
                <w:bCs/>
                <w:color w:val="FFFFFF"/>
                <w:sz w:val="20"/>
                <w:szCs w:val="20"/>
              </w:rPr>
              <w:t xml:space="preserve">Publish and run the validation cloud page</w:t>
            </w:r>
          </w:p>
        </w:tc>
      </w:tr>
      <w:tr>
        <w:tc>
          <w:tcPr>
            <w:tcW w:type="dxa" w:w="9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pStyle w:val="ListParagraph"/>
              <w:numPr>
                <w:ilvl w:val="0"/>
                <w:numId w:val="3"/>
              </w:numPr>
              <w:spacing w:after="100"/>
            </w:pPr>
            <w:r>
              <w:rPr>
                <w:rFonts w:ascii="Arial" w:cs="Arial" w:eastAsia="Arial" w:hAnsi="Arial"/>
                <w:sz w:val="20"/>
                <w:szCs w:val="20"/>
              </w:rPr>
              <w:t xml:space="preserve">In the </w:t>
            </w:r>
            <w:r>
              <w:rPr>
                <w:rFonts w:ascii="Arial" w:cs="Arial" w:eastAsia="Arial" w:hAnsi="Arial"/>
                <w:b/>
                <w:bCs/>
                <w:sz w:val="20"/>
                <w:szCs w:val="20"/>
              </w:rPr>
              <w:t xml:space="preserve">parent BU</w:t>
            </w:r>
            <w:r>
              <w:rPr>
                <w:rFonts w:ascii="Arial" w:cs="Arial" w:eastAsia="Arial" w:hAnsi="Arial"/>
                <w:sz w:val="20"/>
                <w:szCs w:val="20"/>
              </w:rPr>
              <w:t xml:space="preserve">, navigate to </w:t>
            </w:r>
            <w:r>
              <w:rPr>
                <w:rFonts w:ascii="Arial" w:cs="Arial" w:eastAsia="Arial" w:hAnsi="Arial"/>
                <w:b/>
                <w:bCs/>
                <w:sz w:val="20"/>
                <w:szCs w:val="20"/>
              </w:rPr>
              <w:t xml:space="preserve">Web Studio → Cloud Pages → Create</w:t>
            </w:r>
            <w:r>
              <w:rPr>
                <w:rFonts w:ascii="Arial" w:cs="Arial" w:eastAsia="Arial" w:hAnsi="Arial"/>
                <w:sz w:val="20"/>
                <w:szCs w:val="20"/>
              </w:rPr>
              <w:t xml:space="preserve">.</w:t>
            </w:r>
          </w:p>
          <w:p>
            <w:pPr>
              <w:pStyle w:val="ListParagraph"/>
              <w:numPr>
                <w:ilvl w:val="0"/>
                <w:numId w:val="3"/>
              </w:numPr>
              <w:spacing w:after="100"/>
            </w:pPr>
            <w:r>
              <w:rPr>
                <w:rFonts w:ascii="Arial" w:cs="Arial" w:eastAsia="Arial" w:hAnsi="Arial"/>
                <w:sz w:val="20"/>
                <w:szCs w:val="20"/>
              </w:rPr>
              <w:t xml:space="preserve">Name the page </w:t>
            </w:r>
            <w:r>
              <w:rPr>
                <w:rFonts w:ascii="Arial" w:cs="Arial" w:eastAsia="Arial" w:hAnsi="Arial"/>
                <w:b/>
                <w:bCs/>
                <w:sz w:val="20"/>
                <w:szCs w:val="20"/>
              </w:rPr>
              <w:t xml:space="preserve">Phase 3 — Sync Validator</w:t>
            </w:r>
            <w:r>
              <w:rPr>
                <w:rFonts w:ascii="Arial" w:cs="Arial" w:eastAsia="Arial" w:hAnsi="Arial"/>
                <w:sz w:val="20"/>
                <w:szCs w:val="20"/>
              </w:rPr>
              <w:t xml:space="preserve"> (internal use only — do not link from any email footer).</w:t>
            </w:r>
          </w:p>
          <w:p>
            <w:pPr>
              <w:pStyle w:val="ListParagraph"/>
              <w:numPr>
                <w:ilvl w:val="0"/>
                <w:numId w:val="3"/>
              </w:numPr>
              <w:spacing w:after="100"/>
            </w:pPr>
            <w:r>
              <w:rPr>
                <w:rFonts w:ascii="Arial" w:cs="Arial" w:eastAsia="Arial" w:hAnsi="Arial"/>
                <w:sz w:val="20"/>
                <w:szCs w:val="20"/>
              </w:rPr>
              <w:t xml:space="preserve">Paste the contents of </w:t>
            </w:r>
            <w:r>
              <w:rPr>
                <w:rFonts w:ascii="Arial" w:cs="Arial" w:eastAsia="Arial" w:hAnsi="Arial"/>
                <w:b/>
                <w:bCs/>
                <w:sz w:val="20"/>
                <w:szCs w:val="20"/>
              </w:rPr>
              <w:t xml:space="preserve">phase3-sync-validator.html</w:t>
            </w:r>
            <w:r>
              <w:rPr>
                <w:rFonts w:ascii="Arial" w:cs="Arial" w:eastAsia="Arial" w:hAnsi="Arial"/>
                <w:sz w:val="20"/>
                <w:szCs w:val="20"/>
              </w:rPr>
              <w:t xml:space="preserve"> into the HTML editor.</w:t>
            </w:r>
          </w:p>
          <w:p>
            <w:pPr>
              <w:pStyle w:val="ListParagraph"/>
              <w:numPr>
                <w:ilvl w:val="0"/>
                <w:numId w:val="3"/>
              </w:numPr>
              <w:spacing w:after="100"/>
            </w:pPr>
            <w:r>
              <w:rPr>
                <w:rFonts w:ascii="Arial" w:cs="Arial" w:eastAsia="Arial" w:hAnsi="Arial"/>
                <w:sz w:val="20"/>
                <w:szCs w:val="20"/>
              </w:rPr>
              <w:t xml:space="preserve">Before publishing, update the two configuration values at the top of the script:</w:t>
            </w:r>
          </w:p>
          <w:p>
            <w:pPr>
              <w:pStyle w:val="ListParagraph"/>
              <w:numPr>
                <w:ilvl w:val="1"/>
                <w:numId w:val="2"/>
              </w:numPr>
              <w:spacing w:after="80"/>
            </w:pPr>
            <w:r>
              <w:rPr>
                <w:rFonts w:ascii="Courier New" w:cs="Courier New" w:eastAsia="Courier New" w:hAnsi="Courier New"/>
                <w:color w:val="6B2A8A"/>
                <w:sz w:val="18"/>
                <w:szCs w:val="18"/>
              </w:rPr>
              <w:t xml:space="preserve">HR_ORG_ID</w:t>
            </w:r>
            <w:r>
              <w:rPr>
                <w:rFonts w:ascii="Arial" w:cs="Arial" w:eastAsia="Arial" w:hAnsi="Arial"/>
                <w:sz w:val="20"/>
                <w:szCs w:val="20"/>
              </w:rPr>
              <w:t xml:space="preserve"> — the 18-character Salesforce Org ID for the HR org (from the admin tool or Salesforce Setup → Company Information)</w:t>
            </w:r>
          </w:p>
          <w:p>
            <w:pPr>
              <w:pStyle w:val="ListParagraph"/>
              <w:numPr>
                <w:ilvl w:val="1"/>
                <w:numId w:val="2"/>
              </w:numPr>
              <w:spacing w:after="80"/>
            </w:pPr>
            <w:r>
              <w:rPr>
                <w:rFonts w:ascii="Courier New" w:cs="Courier New" w:eastAsia="Courier New" w:hAnsi="Courier New"/>
                <w:color w:val="6B2A8A"/>
                <w:sz w:val="18"/>
                <w:szCs w:val="18"/>
              </w:rPr>
              <w:t xml:space="preserve">HR_SYNCED_DE_NAME</w:t>
            </w:r>
            <w:r>
              <w:rPr>
                <w:rFonts w:ascii="Arial" w:cs="Arial" w:eastAsia="Arial" w:hAnsi="Arial"/>
                <w:sz w:val="20"/>
                <w:szCs w:val="20"/>
              </w:rPr>
              <w:t xml:space="preserve"> — the synced DE name </w:t>
            </w:r>
            <w:r>
              <w:rPr>
                <w:rFonts w:ascii="Arial" w:cs="Arial" w:eastAsia="Arial" w:hAnsi="Arial"/>
                <w:b/>
                <w:bCs/>
                <w:sz w:val="20"/>
                <w:szCs w:val="20"/>
              </w:rPr>
              <w:t xml:space="preserve">including the ENT. prefix</w:t>
            </w:r>
            <w:r>
              <w:rPr>
                <w:rFonts w:ascii="Arial" w:cs="Arial" w:eastAsia="Arial" w:hAnsi="Arial"/>
                <w:sz w:val="20"/>
                <w:szCs w:val="20"/>
              </w:rPr>
              <w:t xml:space="preserve"> (e.g. </w:t>
            </w:r>
            <w:r>
              <w:rPr>
                <w:rFonts w:ascii="Courier New" w:cs="Courier New" w:eastAsia="Courier New" w:hAnsi="Courier New"/>
                <w:color w:val="6B2A8A"/>
                <w:sz w:val="18"/>
                <w:szCs w:val="18"/>
              </w:rPr>
              <w:t xml:space="preserve">ENT.Contact_Salesforce_13</w:t>
            </w:r>
            <w:r>
              <w:rPr>
                <w:rFonts w:ascii="Arial" w:cs="Arial" w:eastAsia="Arial" w:hAnsi="Arial"/>
                <w:sz w:val="20"/>
                <w:szCs w:val="20"/>
              </w:rPr>
              <w:t xml:space="preserve">). See Step 2 note above for the exact name.</w:t>
            </w:r>
          </w:p>
          <w:p>
            <w:pPr>
              <w:pStyle w:val="ListParagraph"/>
              <w:numPr>
                <w:ilvl w:val="0"/>
                <w:numId w:val="3"/>
              </w:numPr>
              <w:spacing w:after="100"/>
            </w:pPr>
            <w:r>
              <w:rPr>
                <w:rFonts w:ascii="Arial" w:cs="Arial" w:eastAsia="Arial" w:hAnsi="Arial"/>
                <w:sz w:val="20"/>
                <w:szCs w:val="20"/>
              </w:rPr>
              <w:t xml:space="preserve">Save and publish the page.</w:t>
            </w:r>
          </w:p>
          <w:p>
            <w:pPr>
              <w:pStyle w:val="ListParagraph"/>
              <w:numPr>
                <w:ilvl w:val="0"/>
                <w:numId w:val="3"/>
              </w:numPr>
              <w:spacing w:after="100"/>
            </w:pPr>
            <w:r>
              <w:rPr>
                <w:rFonts w:ascii="Arial" w:cs="Arial" w:eastAsia="Arial" w:hAnsi="Arial"/>
                <w:sz w:val="20"/>
                <w:szCs w:val="20"/>
              </w:rPr>
              <w:t xml:space="preserve">Open the published URL in a browser while logged into Marketing Cloud (MC SSO session required).</w:t>
            </w:r>
          </w:p>
          <w:p>
            <w:pPr>
              <w:pStyle w:val="ListParagraph"/>
              <w:numPr>
                <w:ilvl w:val="0"/>
                <w:numId w:val="3"/>
              </w:numPr>
              <w:spacing w:after="100"/>
            </w:pPr>
            <w:r>
              <w:rPr>
                <w:rFonts w:ascii="Arial" w:cs="Arial" w:eastAsia="Arial" w:hAnsi="Arial"/>
                <w:sz w:val="20"/>
                <w:szCs w:val="20"/>
              </w:rPr>
              <w:t xml:space="preserve">The page will display a table showing each registered field and whether its column is found in the synced DE, along with sample data.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A0" w:sz="4"/>
              <w:left w:val="single" w:color="0033A0" w:sz="4"/>
              <w:bottom w:val="single" w:color="0033A0" w:sz="4"/>
              <w:right w:val="single" w:color="0033A0" w:sz="4"/>
            </w:tcBorders>
            <w:shd w:fill="D6EFD8" w:val="clear"/>
            <w:tcMar>
              <w:top w:type="dxa" w:w="120"/>
              <w:left w:type="dxa" w:w="160"/>
              <w:bottom w:type="dxa" w:w="120"/>
              <w:right w:type="dxa" w:w="160"/>
            </w:tcMar>
          </w:tcPr>
          <w:p>
            <w:pPr>
              <w:spacing w:after="60"/>
            </w:pPr>
            <w:r>
              <w:rPr>
                <w:rFonts w:ascii="Arial" w:cs="Arial" w:eastAsia="Arial" w:hAnsi="Arial"/>
                <w:b/>
                <w:bCs/>
                <w:color w:val="1D7A2E"/>
                <w:sz w:val="20"/>
                <w:szCs w:val="20"/>
              </w:rPr>
              <w:t xml:space="preserve">Expected passing output</w:t>
            </w:r>
          </w:p>
          <w:p>
            <w:pPr>
              <w:spacing w:after="60"/>
            </w:pPr>
            <w:r>
              <w:rPr>
                <w:rFonts w:ascii="Arial" w:cs="Arial" w:eastAsia="Arial" w:hAnsi="Arial"/>
                <w:sz w:val="20"/>
                <w:szCs w:val="20"/>
              </w:rPr>
              <w:t xml:space="preserve">Each registered field row should show a green ✓ in the Column Found column, and the Sample Value column should show a boolean value (true or false) from a live contact record — not blank or null. If all rows pass, Phase 3 is complete.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A0" w:sz="4"/>
              <w:left w:val="single" w:color="0033A0" w:sz="4"/>
              <w:bottom w:val="single" w:color="0033A0" w:sz="4"/>
              <w:right w:val="single" w:color="0033A0" w:sz="4"/>
            </w:tcBorders>
            <w:shd w:fill="FFF3CD" w:val="clear"/>
            <w:tcMar>
              <w:top w:type="dxa" w:w="120"/>
              <w:left w:type="dxa" w:w="160"/>
              <w:bottom w:type="dxa" w:w="120"/>
              <w:right w:type="dxa" w:w="160"/>
            </w:tcMar>
          </w:tcPr>
          <w:p>
            <w:pPr>
              <w:spacing w:after="60"/>
            </w:pPr>
            <w:r>
              <w:rPr>
                <w:rFonts w:ascii="Arial" w:cs="Arial" w:eastAsia="Arial" w:hAnsi="Arial"/>
                <w:b/>
                <w:bCs/>
                <w:color w:val="BB5500"/>
                <w:sz w:val="20"/>
                <w:szCs w:val="20"/>
              </w:rPr>
              <w:t xml:space="preserve">⚠️  If any field shows Column Not Found</w:t>
            </w:r>
          </w:p>
          <w:p>
            <w:pPr>
              <w:spacing w:after="60"/>
            </w:pPr>
            <w:r>
              <w:rPr>
                <w:rFonts w:ascii="Arial" w:cs="Arial" w:eastAsia="Arial" w:hAnsi="Arial"/>
                <w:sz w:val="20"/>
                <w:szCs w:val="20"/>
              </w:rPr>
              <w:t xml:space="preserve">Return to Step 3a and add the missing field to the Salesforce connector sync configuration. Do not proceed to Phase 4 until all registered fields resolve to a valid column.</w:t>
            </w:r>
          </w:p>
        </w:tc>
      </w:tr>
    </w:tbl>
    <w:p>
      <w:pPr>
        <w:spacing w:after="200"/>
      </w:pPr>
      <w:r>
        <w:t xml:space="preserve"/>
      </w:r>
    </w:p>
    <w:p>
      <w:pPr>
        <w:pBdr>
          <w:bottom w:val="single" w:color="0033A0" w:sz="6" w:space="1"/>
        </w:pBdr>
        <w:spacing w:after="120" w:before="120"/>
      </w:pPr>
      <w:r>
        <w:t xml:space="preserve"/>
      </w:r>
    </w:p>
    <w:p>
      <w:pPr>
        <w:spacing w:after="120"/>
      </w:pPr>
      <w:r>
        <w:t xml:space="preserve"/>
      </w:r>
    </w:p>
    <w:p>
      <w:pPr>
        <w:pStyle w:val="Heading1"/>
        <w:spacing w:after="160" w:before="320"/>
      </w:pPr>
      <w:r>
        <w:rPr>
          <w:rFonts w:ascii="Arial" w:cs="Arial" w:eastAsia="Arial" w:hAnsi="Arial"/>
          <w:b/>
          <w:bCs/>
          <w:color w:val="003B75"/>
          <w:sz w:val="28"/>
          <w:szCs w:val="28"/>
        </w:rPr>
        <w:t xml:space="preserve">Phase 3 Completion Checklist</w:t>
      </w:r>
    </w:p>
    <w:p>
      <w:pPr>
        <w:spacing w:after="120"/>
      </w:pPr>
      <w:r>
        <w:rPr>
          <w:rFonts w:ascii="Arial" w:cs="Arial" w:eastAsia="Arial" w:hAnsi="Arial"/>
          <w:sz w:val="20"/>
          <w:szCs w:val="20"/>
        </w:rPr>
        <w:t xml:space="preserve">Sign off each item before handing off to Phase 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03B7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003B75" w:val="clear"/>
            <w:tcMar>
              <w:top w:type="dxa" w:w="80"/>
              <w:left w:type="dxa" w:w="120"/>
              <w:bottom w:type="dxa" w:w="80"/>
              <w:right w:type="dxa" w:w="120"/>
            </w:tcMar>
          </w:tcPr>
          <w:p>
            <w:r>
              <w:rPr>
                <w:rFonts w:ascii="Arial" w:cs="Arial" w:eastAsia="Arial" w:hAnsi="Arial"/>
                <w:b/>
                <w:bCs/>
                <w:color w:val="FFFFFF"/>
                <w:sz w:val="18"/>
                <w:szCs w:val="18"/>
              </w:rPr>
              <w:t xml:space="preserve">Checklist Item</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1</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HR subscription fields verified in Step 1 (admin tool field list exported)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HR synchronized DE located in Contact Builder (HR child BU) — exact DE name (with ENT. prefix) recorded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3</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All registered FieldAPINames confirmed as columns in the HR synced 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Sync status is Active with timestamp within expected cadence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4a</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MC Connect running user has Read + Edit FLS on all CommPref_* fields, HasOptedOutOfEmail, and DoNotContact in the HR Salesforce org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Synced DE contains populated rows (not blank) for subscription preference columns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6</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3 Sync Validation Cloud Page published to parent BU with ENT.-prefixed DE name configured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rows in the validation output show Column Found = ✓ and a non-null Sample Value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8</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4 Prep Notes and FLS Verification sections reviewed with implementation team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Validation results screenshot or export saved for project records</w:t>
            </w:r>
          </w:p>
        </w:tc>
      </w:tr>
    </w:tbl>
    <w:p>
      <w:pPr>
        <w:spacing w:after="200"/>
      </w:pPr>
      <w:r>
        <w:t xml:space="preserve"/>
      </w:r>
    </w:p>
    <w:p>
      <w:pPr>
        <w:pBdr>
          <w:bottom w:val="single" w:color="0033A0" w:sz="6" w:space="1"/>
        </w:pBdr>
        <w:spacing w:after="120" w:before="120"/>
      </w:pPr>
      <w:r>
        <w:t xml:space="preserve"/>
      </w:r>
    </w:p>
    <w:p>
      <w:pPr>
        <w:spacing w:after="120"/>
      </w:pPr>
      <w:r>
        <w:t xml:space="preserve"/>
      </w:r>
    </w:p>
    <w:p>
      <w:pPr>
        <w:pStyle w:val="Heading1"/>
        <w:spacing w:after="160" w:before="320"/>
      </w:pPr>
      <w:r>
        <w:rPr>
          <w:rFonts w:ascii="Arial" w:cs="Arial" w:eastAsia="Arial" w:hAnsi="Arial"/>
          <w:b/>
          <w:bCs/>
          <w:color w:val="003B75"/>
          <w:sz w:val="28"/>
          <w:szCs w:val="28"/>
        </w:rPr>
        <w:t xml:space="preserve">Troubleshooting Reference</w:t>
      </w:r>
    </w:p>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A0" w:sz="6" w:space="1"/>
      </w:pBdr>
      <w:tabs>
        <w:tab w:val="right" w:pos="9360"/>
      </w:tabs>
    </w:pPr>
    <w:r>
      <w:rPr>
        <w:rFonts w:ascii="Arial" w:cs="Arial" w:eastAsia="Arial" w:hAnsi="Arial"/>
        <w:color w:val="888888"/>
        <w:sz w:val="16"/>
        <w:szCs w:val="16"/>
      </w:rPr>
      <w:t xml:space="preserve">University of Kentucky — Salesforce Marketing Cloud</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A0" w:sz="6" w:space="1"/>
      </w:pBdr>
    </w:pPr>
    <w:r>
      <w:rPr>
        <w:rFonts w:ascii="Arial" w:cs="Arial" w:eastAsia="Arial" w:hAnsi="Arial"/>
        <w:b/>
        <w:bCs/>
        <w:color w:val="003B75"/>
        <w:sz w:val="18"/>
        <w:szCs w:val="18"/>
      </w:rPr>
      <w:t xml:space="preserve">UK Centralized Subscription Center</w:t>
    </w:r>
    <w:r>
      <w:rPr>
        <w:rFonts w:ascii="Arial" w:cs="Arial" w:eastAsia="Arial" w:hAnsi="Arial"/>
        <w:color w:val="666666"/>
        <w:sz w:val="18"/>
        <w:szCs w:val="18"/>
      </w:rPr>
      <w:t xml:space="preserve">   —   Phase 3: Synchronized Data Extension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B75"/>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33A0"/>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2026-07-01T12:08:16.270Z</dcterms:created>
  <dcterms:modified xsi:type="dcterms:W3CDTF">2026-07-01T12:08:16.270Z</dcterms:modified>
</cp:coreProperties>
</file>

<file path=docProps/custom.xml><?xml version="1.0" encoding="utf-8"?>
<Properties xmlns="http://schemas.openxmlformats.org/officeDocument/2006/custom-properties" xmlns:vt="http://schemas.openxmlformats.org/officeDocument/2006/docPropsVTypes"/>
</file>