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6a670cb7c71fe973b054406c6f15e3b5066c17"/>
    <w:p>
      <w:pPr>
        <w:pStyle w:val="Heading1"/>
      </w:pPr>
      <w:r>
        <w:t xml:space="preserve">Merged AZ‑305 + AI‑900 Study Guide (Hybrid Edition)</w:t>
      </w:r>
    </w:p>
    <w:bookmarkStart w:id="20" w:name="X208210dd33cb42f0aacf958d198d3b3b70d3cc9"/>
    <w:p>
      <w:pPr>
        <w:pStyle w:val="Heading2"/>
      </w:pPr>
      <w:r>
        <w:t xml:space="preserve">Updated Edition — Link‑Validated &amp; 404‑Corrected</w:t>
      </w:r>
    </w:p>
    <w:p>
      <w:pPr>
        <w:pStyle w:val="FirstParagraph"/>
      </w:pPr>
      <w:r>
        <w:t xml:space="preserve">A unified, architect‑level study guide combining AZ‑305 objectives with AI‑900 fundamentals, enriched with transcript‑based insights, Savill‑style diagrams, and updated Microsoft Learn references.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ection-1-foundations"/>
    <w:p>
      <w:pPr>
        <w:pStyle w:val="Heading1"/>
      </w:pPr>
      <w:r>
        <w:t xml:space="preserve">SECTION 1 — Foundations</w:t>
      </w:r>
    </w:p>
    <w:bookmarkStart w:id="22" w:name="why-ai900-matters-for-az305"/>
    <w:p>
      <w:pPr>
        <w:pStyle w:val="Heading2"/>
      </w:pPr>
      <w:r>
        <w:t xml:space="preserve">Why AI‑900 Matters for AZ‑305</w:t>
      </w:r>
    </w:p>
    <w:p>
      <w:pPr>
        <w:pStyle w:val="FirstParagraph"/>
      </w:pPr>
      <w:r>
        <w:t xml:space="preserve">AI‑900 provides conceptual grounding that strengthens architectural decisions required in AZ‑305.</w:t>
      </w:r>
    </w:p>
    <w:p>
      <w:pPr>
        <w:pStyle w:val="BodyText"/>
      </w:pPr>
      <w:r>
        <w:t xml:space="preserve">Key areas include:</w:t>
      </w:r>
    </w:p>
    <w:p>
      <w:pPr>
        <w:pStyle w:val="Compact"/>
        <w:numPr>
          <w:ilvl w:val="0"/>
          <w:numId w:val="1001"/>
        </w:numPr>
      </w:pPr>
      <w:r>
        <w:t xml:space="preserve">Identity &amp; access (Entra ID, tokens, managed identities)</w:t>
      </w:r>
    </w:p>
    <w:p>
      <w:pPr>
        <w:pStyle w:val="Compact"/>
        <w:numPr>
          <w:ilvl w:val="0"/>
          <w:numId w:val="1001"/>
        </w:numPr>
      </w:pPr>
      <w:r>
        <w:t xml:space="preserve">Model deployment patterns (global, data‑zone, regional)</w:t>
      </w:r>
    </w:p>
    <w:p>
      <w:pPr>
        <w:pStyle w:val="Compact"/>
        <w:numPr>
          <w:ilvl w:val="0"/>
          <w:numId w:val="1001"/>
        </w:numPr>
      </w:pPr>
      <w:r>
        <w:t xml:space="preserve">Responsible AI principles</w:t>
      </w:r>
    </w:p>
    <w:p>
      <w:pPr>
        <w:pStyle w:val="Compact"/>
        <w:numPr>
          <w:ilvl w:val="0"/>
          <w:numId w:val="1001"/>
        </w:numPr>
      </w:pPr>
      <w:r>
        <w:t xml:space="preserve">Integration patterns (REST, SDKs)</w:t>
      </w:r>
    </w:p>
    <w:p>
      <w:pPr>
        <w:pStyle w:val="Compact"/>
        <w:numPr>
          <w:ilvl w:val="0"/>
          <w:numId w:val="1001"/>
        </w:numPr>
      </w:pPr>
      <w:r>
        <w:t xml:space="preserve">RAG and agent‑based architectures</w:t>
      </w:r>
    </w:p>
    <w:p>
      <w:pPr>
        <w:pStyle w:val="BlockText"/>
      </w:pPr>
      <w:r>
        <w:t xml:space="preserve">“The identity provider is Entra ID… only identities in this tenant can be given permission to use those resources.”</w:t>
      </w:r>
    </w:p>
    <w:p>
      <w:pPr>
        <w:pStyle w:val="BlockText"/>
      </w:pPr>
      <w:r>
        <w:t xml:space="preserve">“Global… data zone… regional… not every model is available in every region.”</w:t>
      </w:r>
    </w:p>
    <w:bookmarkEnd w:id="22"/>
    <w:bookmarkStart w:id="23" w:name="section-references-foundations"/>
    <w:p>
      <w:pPr>
        <w:pStyle w:val="Heading2"/>
      </w:pPr>
      <w:r>
        <w:t xml:space="preserve">Section References — Foundations</w:t>
      </w:r>
    </w:p>
    <w:p>
      <w:pPr>
        <w:pStyle w:val="Compact"/>
        <w:numPr>
          <w:ilvl w:val="0"/>
          <w:numId w:val="1002"/>
        </w:numPr>
      </w:pPr>
      <w:r>
        <w:t xml:space="preserve">Microsoft Learn — Azure AI Fundamentals: https://learn.microsoft.com/azure/ai-services/</w:t>
      </w:r>
    </w:p>
    <w:p>
      <w:pPr>
        <w:pStyle w:val="Compact"/>
        <w:numPr>
          <w:ilvl w:val="0"/>
          <w:numId w:val="1002"/>
        </w:numPr>
      </w:pPr>
      <w:r>
        <w:t xml:space="preserve">Microsoft Learn — Microsoft Entra ID Documentation: https://learn.microsoft.com/entra/</w:t>
      </w:r>
    </w:p>
    <w:p>
      <w:pPr>
        <w:pStyle w:val="Compact"/>
        <w:numPr>
          <w:ilvl w:val="0"/>
          <w:numId w:val="1002"/>
        </w:numPr>
      </w:pPr>
      <w:r>
        <w:t xml:space="preserve">Azure OpenAI Overview: https://learn.microsoft.com/azure/ai-services/openai/overview</w:t>
      </w:r>
    </w:p>
    <w:p>
      <w:pPr>
        <w:pStyle w:val="Compact"/>
        <w:numPr>
          <w:ilvl w:val="0"/>
          <w:numId w:val="1002"/>
        </w:numPr>
      </w:pPr>
      <w:r>
        <w:t xml:space="preserve">John Savill AI‑900 Deep Dive: https://www.youtube.com/watch?v=Hc3RIBsY4b0</w:t>
      </w:r>
    </w:p>
    <w:p>
      <w:pPr>
        <w:pStyle w:val="Compact"/>
        <w:numPr>
          <w:ilvl w:val="0"/>
          <w:numId w:val="1002"/>
        </w:numPr>
      </w:pPr>
      <w:r>
        <w:t xml:space="preserve">Azure Architecture Center — AI Overview: https://learn.microsoft.com/azure/architecture/guide/ai/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61" w:name="section-2-weekbyweek-merged-study-plan"/>
    <w:p>
      <w:pPr>
        <w:pStyle w:val="Heading1"/>
      </w:pPr>
      <w:r>
        <w:t xml:space="preserve">SECTION 2 — Week‑by‑Week Merged Study Plan</w:t>
      </w:r>
    </w:p>
    <w:bookmarkStart w:id="30" w:name="Xb25131fd95060db6f97e4b076a5109ae327568c"/>
    <w:p>
      <w:pPr>
        <w:pStyle w:val="Heading2"/>
      </w:pPr>
      <w:r>
        <w:t xml:space="preserve">Week 1 — Azure AI Services &amp; Core Architecture</w:t>
      </w:r>
    </w:p>
    <w:bookmarkStart w:id="25" w:name="az305-objectives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03"/>
        </w:numPr>
      </w:pPr>
      <w:r>
        <w:t xml:space="preserve">Understand Azure AI service categories</w:t>
      </w:r>
    </w:p>
    <w:p>
      <w:pPr>
        <w:pStyle w:val="Compact"/>
        <w:numPr>
          <w:ilvl w:val="0"/>
          <w:numId w:val="1003"/>
        </w:numPr>
      </w:pPr>
      <w:r>
        <w:t xml:space="preserve">Determine when to use deterministic vs generative AI</w:t>
      </w:r>
    </w:p>
    <w:p>
      <w:pPr>
        <w:pStyle w:val="Compact"/>
        <w:numPr>
          <w:ilvl w:val="0"/>
          <w:numId w:val="1003"/>
        </w:numPr>
      </w:pPr>
      <w:r>
        <w:t xml:space="preserve">Establish baseline architecture patterns</w:t>
      </w:r>
    </w:p>
    <w:bookmarkEnd w:id="25"/>
    <w:bookmarkStart w:id="26" w:name="ai900-reinforcement"/>
    <w:p>
      <w:pPr>
        <w:pStyle w:val="Heading3"/>
      </w:pPr>
      <w:r>
        <w:t xml:space="preserve">AI‑900 Reinforcement</w:t>
      </w:r>
    </w:p>
    <w:p>
      <w:pPr>
        <w:pStyle w:val="Compact"/>
        <w:numPr>
          <w:ilvl w:val="0"/>
          <w:numId w:val="1004"/>
        </w:numPr>
      </w:pPr>
      <w:r>
        <w:t xml:space="preserve">Model types (LLMs, SLMs, multimodal)</w:t>
      </w:r>
    </w:p>
    <w:p>
      <w:pPr>
        <w:pStyle w:val="Compact"/>
        <w:numPr>
          <w:ilvl w:val="0"/>
          <w:numId w:val="1004"/>
        </w:numPr>
      </w:pPr>
      <w:r>
        <w:t xml:space="preserve">Deterministic vs generative behavior</w:t>
      </w:r>
    </w:p>
    <w:p>
      <w:pPr>
        <w:pStyle w:val="BlockText"/>
      </w:pPr>
      <w:r>
        <w:t xml:space="preserve">“I can create text… images… videos.”</w:t>
      </w:r>
    </w:p>
    <w:bookmarkEnd w:id="26"/>
    <w:bookmarkStart w:id="27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[Azure Front Door] → [App Service / Function]</w:t>
      </w:r>
      <w:r>
        <w:br/>
      </w:r>
      <w:r>
        <w:rPr>
          <w:rStyle w:val="VerbatimChar"/>
        </w:rPr>
        <w:t xml:space="preserve">   |                         |</w:t>
      </w:r>
      <w:r>
        <w:br/>
      </w:r>
      <w:r>
        <w:rPr>
          <w:rStyle w:val="VerbatimChar"/>
        </w:rPr>
        <w:t xml:space="preserve">   v                         v</w:t>
      </w:r>
      <w:r>
        <w:br/>
      </w:r>
      <w:r>
        <w:rPr>
          <w:rStyle w:val="VerbatimChar"/>
        </w:rPr>
        <w:t xml:space="preserve">[Azure AI Service] ←→ [Azure Storage]</w:t>
      </w:r>
    </w:p>
    <w:bookmarkEnd w:id="27"/>
    <w:bookmarkStart w:id="28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5"/>
        </w:numPr>
      </w:pPr>
      <w:r>
        <w:t xml:space="preserve">Compare Azure AI Vision vs Azure OpenAI for image tasks</w:t>
      </w:r>
    </w:p>
    <w:p>
      <w:pPr>
        <w:pStyle w:val="Compact"/>
        <w:numPr>
          <w:ilvl w:val="0"/>
          <w:numId w:val="1005"/>
        </w:numPr>
      </w:pPr>
      <w:r>
        <w:t xml:space="preserve">Identify deterministic services for cost‑sensitive workloads</w:t>
      </w:r>
    </w:p>
    <w:bookmarkEnd w:id="28"/>
    <w:bookmarkStart w:id="29" w:name="section-references-week-1"/>
    <w:p>
      <w:pPr>
        <w:pStyle w:val="Heading3"/>
      </w:pPr>
      <w:r>
        <w:t xml:space="preserve">Section References — Week 1</w:t>
      </w:r>
    </w:p>
    <w:p>
      <w:pPr>
        <w:pStyle w:val="Compact"/>
        <w:numPr>
          <w:ilvl w:val="0"/>
          <w:numId w:val="1006"/>
        </w:numPr>
      </w:pPr>
      <w:r>
        <w:t xml:space="preserve">Azure AI Services Overview: https://learn.microsoft.com/azure/ai-services/what-are-ai-services</w:t>
      </w:r>
    </w:p>
    <w:p>
      <w:pPr>
        <w:pStyle w:val="Compact"/>
        <w:numPr>
          <w:ilvl w:val="0"/>
          <w:numId w:val="1006"/>
        </w:numPr>
      </w:pPr>
      <w:r>
        <w:t xml:space="preserve">Azure OpenAI Models: https://learn.microsoft.com/azure/ai-services/openai/concepts/models</w:t>
      </w:r>
    </w:p>
    <w:p>
      <w:pPr>
        <w:pStyle w:val="Compact"/>
        <w:numPr>
          <w:ilvl w:val="0"/>
          <w:numId w:val="1006"/>
        </w:numPr>
      </w:pPr>
      <w:r>
        <w:t xml:space="preserve">Azure Front Door: https://learn.microsoft.com/azure/frontdoor/front-door-overview</w:t>
      </w:r>
    </w:p>
    <w:p>
      <w:pPr>
        <w:pStyle w:val="Compact"/>
        <w:numPr>
          <w:ilvl w:val="0"/>
          <w:numId w:val="1006"/>
        </w:numPr>
      </w:pPr>
      <w:r>
        <w:t xml:space="preserve">Azure App Service: https://learn.microsoft.com/azure/app-service/</w:t>
      </w:r>
    </w:p>
    <w:p>
      <w:pPr>
        <w:pStyle w:val="Compact"/>
        <w:numPr>
          <w:ilvl w:val="0"/>
          <w:numId w:val="1006"/>
        </w:numPr>
      </w:pPr>
      <w:r>
        <w:t xml:space="preserve">Azure Functions: https://learn.microsoft.com/azure/azure-functions/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62db2cf9f8a7bc588f4f91e19ec54a6dfd9a7f0"/>
    <w:p>
      <w:pPr>
        <w:pStyle w:val="Heading2"/>
      </w:pPr>
      <w:r>
        <w:t xml:space="preserve">Week 2 — Region, Compliance &amp; Deployment Architecture</w:t>
      </w:r>
    </w:p>
    <w:bookmarkStart w:id="31" w:name="az305-objectives-1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07"/>
        </w:numPr>
      </w:pPr>
      <w:r>
        <w:t xml:space="preserve">Design region selection strategy</w:t>
      </w:r>
    </w:p>
    <w:p>
      <w:pPr>
        <w:pStyle w:val="Compact"/>
        <w:numPr>
          <w:ilvl w:val="0"/>
          <w:numId w:val="1007"/>
        </w:numPr>
      </w:pPr>
      <w:r>
        <w:t xml:space="preserve">Understand global vs data‑zone vs regional model availability</w:t>
      </w:r>
    </w:p>
    <w:bookmarkEnd w:id="31"/>
    <w:bookmarkStart w:id="32" w:name="ai900-reinforcement-1"/>
    <w:p>
      <w:pPr>
        <w:pStyle w:val="Heading3"/>
      </w:pPr>
      <w:r>
        <w:t xml:space="preserve">AI‑900 Reinforcement</w:t>
      </w:r>
    </w:p>
    <w:p>
      <w:pPr>
        <w:pStyle w:val="BlockText"/>
      </w:pPr>
      <w:r>
        <w:t xml:space="preserve">“Not every model is available in every region.”</w:t>
      </w:r>
    </w:p>
    <w:bookmarkEnd w:id="32"/>
    <w:bookmarkStart w:id="33" w:name="architecture-diagram-1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[Global Model]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[Data Zone (US/EU)]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[Regional Deployment]</w:t>
      </w:r>
    </w:p>
    <w:bookmarkEnd w:id="33"/>
    <w:bookmarkStart w:id="34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8"/>
        </w:numPr>
      </w:pPr>
      <w:r>
        <w:t xml:space="preserve">Map required models to available Azure regions</w:t>
      </w:r>
    </w:p>
    <w:p>
      <w:pPr>
        <w:pStyle w:val="Compact"/>
        <w:numPr>
          <w:ilvl w:val="0"/>
          <w:numId w:val="1008"/>
        </w:numPr>
      </w:pPr>
      <w:r>
        <w:t xml:space="preserve">Evaluate compliance constraints (HIPAA, GDPR)</w:t>
      </w:r>
    </w:p>
    <w:bookmarkEnd w:id="34"/>
    <w:bookmarkStart w:id="35" w:name="section-references-week-2"/>
    <w:p>
      <w:pPr>
        <w:pStyle w:val="Heading3"/>
      </w:pPr>
      <w:r>
        <w:t xml:space="preserve">Section References — Week 2</w:t>
      </w:r>
    </w:p>
    <w:p>
      <w:pPr>
        <w:pStyle w:val="Compact"/>
        <w:numPr>
          <w:ilvl w:val="0"/>
          <w:numId w:val="1009"/>
        </w:numPr>
      </w:pPr>
      <w:r>
        <w:t xml:space="preserve">Azure Region Availability: https://learn.microsoft.com/azure/reliability/regions</w:t>
      </w:r>
    </w:p>
    <w:p>
      <w:pPr>
        <w:pStyle w:val="Compact"/>
        <w:numPr>
          <w:ilvl w:val="0"/>
          <w:numId w:val="1009"/>
        </w:numPr>
      </w:pPr>
      <w:r>
        <w:t xml:space="preserve">Azure Compliance Offerings: https://learn.microsoft.com/azure/compliance/</w:t>
      </w:r>
    </w:p>
    <w:p>
      <w:pPr>
        <w:pStyle w:val="Compact"/>
        <w:numPr>
          <w:ilvl w:val="0"/>
          <w:numId w:val="1009"/>
        </w:numPr>
      </w:pPr>
      <w:r>
        <w:t xml:space="preserve">Azure OpenAI Model Availability: https://learn.microsoft.com/azure/ai-services/openai/concepts/models#model-summary-table-and-region-availability</w:t>
      </w:r>
    </w:p>
    <w:p>
      <w:pPr>
        <w:pStyle w:val="Compact"/>
        <w:numPr>
          <w:ilvl w:val="0"/>
          <w:numId w:val="1009"/>
        </w:numPr>
      </w:pPr>
      <w:r>
        <w:t xml:space="preserve">Microsoft Privacy &amp; Data Residency: https://learn.microsoft.com/compliance/regulatory/offering-data-residency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week-3-integration-patterns-endpoints"/>
    <w:p>
      <w:pPr>
        <w:pStyle w:val="Heading2"/>
      </w:pPr>
      <w:r>
        <w:t xml:space="preserve">Week 3 — Integration Patterns &amp; Endpoints</w:t>
      </w:r>
    </w:p>
    <w:bookmarkStart w:id="37" w:name="az305-objectives-2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10"/>
        </w:numPr>
      </w:pPr>
      <w:r>
        <w:t xml:space="preserve">Design secure integration with AI endpoints</w:t>
      </w:r>
    </w:p>
    <w:p>
      <w:pPr>
        <w:pStyle w:val="Compact"/>
        <w:numPr>
          <w:ilvl w:val="0"/>
          <w:numId w:val="1010"/>
        </w:numPr>
      </w:pPr>
      <w:r>
        <w:t xml:space="preserve">Use REST and SDK patterns</w:t>
      </w:r>
    </w:p>
    <w:bookmarkEnd w:id="37"/>
    <w:bookmarkStart w:id="38" w:name="ai900-reinforcement-2"/>
    <w:p>
      <w:pPr>
        <w:pStyle w:val="Heading3"/>
      </w:pPr>
      <w:r>
        <w:t xml:space="preserve">AI‑900 Reinforcement</w:t>
      </w:r>
    </w:p>
    <w:p>
      <w:pPr>
        <w:pStyle w:val="BlockText"/>
      </w:pPr>
      <w:r>
        <w:t xml:space="preserve">“Every instance of Microsoft Boundary has an endpoint… apps communicate using REST.”</w:t>
      </w:r>
    </w:p>
    <w:bookmarkEnd w:id="38"/>
    <w:bookmarkStart w:id="39" w:name="architecture-diagram-2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[App] → [SDK] → [REST Endpoint] → [Model]</w:t>
      </w:r>
    </w:p>
    <w:bookmarkEnd w:id="39"/>
    <w:bookmarkStart w:id="40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1"/>
        </w:numPr>
      </w:pPr>
      <w:r>
        <w:t xml:space="preserve">Implement token‑based auth using managed identity</w:t>
      </w:r>
    </w:p>
    <w:p>
      <w:pPr>
        <w:pStyle w:val="Compact"/>
        <w:numPr>
          <w:ilvl w:val="0"/>
          <w:numId w:val="1011"/>
        </w:numPr>
      </w:pPr>
      <w:r>
        <w:t xml:space="preserve">Compare REST vs SDK integration</w:t>
      </w:r>
    </w:p>
    <w:bookmarkEnd w:id="40"/>
    <w:bookmarkStart w:id="41" w:name="section-references-week-3"/>
    <w:p>
      <w:pPr>
        <w:pStyle w:val="Heading3"/>
      </w:pPr>
      <w:r>
        <w:t xml:space="preserve">Section References — Week 3</w:t>
      </w:r>
    </w:p>
    <w:p>
      <w:pPr>
        <w:pStyle w:val="Compact"/>
        <w:numPr>
          <w:ilvl w:val="0"/>
          <w:numId w:val="1012"/>
        </w:numPr>
      </w:pPr>
      <w:r>
        <w:t xml:space="preserve">Azure REST API Guidelines: https://learn.microsoft.com/azure/architecture/best-practices/api-design</w:t>
      </w:r>
    </w:p>
    <w:p>
      <w:pPr>
        <w:pStyle w:val="Compact"/>
        <w:numPr>
          <w:ilvl w:val="0"/>
          <w:numId w:val="1012"/>
        </w:numPr>
      </w:pPr>
      <w:r>
        <w:t xml:space="preserve">Azure SDK Overview: https://learn.microsoft.com/azure/developer/</w:t>
      </w:r>
    </w:p>
    <w:p>
      <w:pPr>
        <w:pStyle w:val="Compact"/>
        <w:numPr>
          <w:ilvl w:val="0"/>
          <w:numId w:val="1012"/>
        </w:numPr>
      </w:pPr>
      <w:r>
        <w:t xml:space="preserve">Managed Identity Overview: https://learn.microsoft.com/entra/identity/managed-identities-azure-resources/overview</w:t>
      </w:r>
    </w:p>
    <w:p>
      <w:pPr>
        <w:pStyle w:val="Compact"/>
        <w:numPr>
          <w:ilvl w:val="0"/>
          <w:numId w:val="1012"/>
        </w:numPr>
      </w:pPr>
      <w:r>
        <w:t xml:space="preserve">Azure OpenAI REST API: https://learn.microsoft.com/azure/ai-services/openai/reference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week-4-rag-agents-knowledge-bases"/>
    <w:p>
      <w:pPr>
        <w:pStyle w:val="Heading2"/>
      </w:pPr>
      <w:r>
        <w:t xml:space="preserve">Week 4 — RAG, Agents &amp; Knowledge Bases</w:t>
      </w:r>
    </w:p>
    <w:bookmarkStart w:id="43" w:name="az305-objectives-3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13"/>
        </w:numPr>
      </w:pPr>
      <w:r>
        <w:t xml:space="preserve">Architect Retrieval‑Augmented Generation (RAG)</w:t>
      </w:r>
    </w:p>
    <w:p>
      <w:pPr>
        <w:pStyle w:val="Compact"/>
        <w:numPr>
          <w:ilvl w:val="0"/>
          <w:numId w:val="1013"/>
        </w:numPr>
      </w:pPr>
      <w:r>
        <w:t xml:space="preserve">Integrate Azure AI Search</w:t>
      </w:r>
    </w:p>
    <w:p>
      <w:pPr>
        <w:pStyle w:val="Compact"/>
        <w:numPr>
          <w:ilvl w:val="0"/>
          <w:numId w:val="1013"/>
        </w:numPr>
      </w:pPr>
      <w:r>
        <w:t xml:space="preserve">Understand agent orchestration</w:t>
      </w:r>
    </w:p>
    <w:bookmarkEnd w:id="43"/>
    <w:bookmarkStart w:id="44" w:name="ai900-reinforcement-3"/>
    <w:p>
      <w:pPr>
        <w:pStyle w:val="Heading3"/>
      </w:pPr>
      <w:r>
        <w:t xml:space="preserve">AI‑900 Reinforcement</w:t>
      </w:r>
    </w:p>
    <w:p>
      <w:pPr>
        <w:pStyle w:val="BlockText"/>
      </w:pPr>
      <w:r>
        <w:t xml:space="preserve">“Knowledge… hooks into Azure AI Search… enhances the agent with information it wasn’t trained on.”</w:t>
      </w:r>
    </w:p>
    <w:bookmarkEnd w:id="44"/>
    <w:bookmarkStart w:id="45" w:name="architecture-diagram-3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[User]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[Agent] → [Tool] → [AI Search Index]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[Model]</w:t>
      </w:r>
    </w:p>
    <w:bookmarkEnd w:id="45"/>
    <w:bookmarkStart w:id="46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4"/>
        </w:numPr>
      </w:pPr>
      <w:r>
        <w:t xml:space="preserve">Build a vector index in Azure AI Search</w:t>
      </w:r>
    </w:p>
    <w:p>
      <w:pPr>
        <w:pStyle w:val="Compact"/>
        <w:numPr>
          <w:ilvl w:val="0"/>
          <w:numId w:val="1014"/>
        </w:numPr>
      </w:pPr>
      <w:r>
        <w:t xml:space="preserve">Design a multi‑agent workflow</w:t>
      </w:r>
    </w:p>
    <w:bookmarkEnd w:id="46"/>
    <w:bookmarkStart w:id="47" w:name="section-references-week-4"/>
    <w:p>
      <w:pPr>
        <w:pStyle w:val="Heading3"/>
      </w:pPr>
      <w:r>
        <w:t xml:space="preserve">Section References — Week 4</w:t>
      </w:r>
    </w:p>
    <w:p>
      <w:pPr>
        <w:pStyle w:val="Compact"/>
        <w:numPr>
          <w:ilvl w:val="0"/>
          <w:numId w:val="1015"/>
        </w:numPr>
      </w:pPr>
      <w:r>
        <w:t xml:space="preserve">Azure AI Search Overview: https://learn.microsoft.com/azure/search/search-what-is-azure-search</w:t>
      </w:r>
    </w:p>
    <w:p>
      <w:pPr>
        <w:pStyle w:val="Compact"/>
        <w:numPr>
          <w:ilvl w:val="0"/>
          <w:numId w:val="1015"/>
        </w:numPr>
      </w:pPr>
      <w:r>
        <w:t xml:space="preserve">Vector Search in Azure AI Search: https://learn.microsoft.com/azure/search/vector-search-overview</w:t>
      </w:r>
    </w:p>
    <w:p>
      <w:pPr>
        <w:pStyle w:val="Compact"/>
        <w:numPr>
          <w:ilvl w:val="0"/>
          <w:numId w:val="1015"/>
        </w:numPr>
      </w:pPr>
      <w:r>
        <w:t xml:space="preserve">RAG Architecture Pattern: https://learn.microsoft.com/azure/architecture/ai-ml/guide/rag-overview</w:t>
      </w:r>
    </w:p>
    <w:p>
      <w:pPr>
        <w:pStyle w:val="Compact"/>
        <w:numPr>
          <w:ilvl w:val="0"/>
          <w:numId w:val="1015"/>
        </w:numPr>
      </w:pPr>
      <w:r>
        <w:t xml:space="preserve">Azure AI Agent Service Overview: https://learn.microsoft.com/azure/ai-services/agents/overview</w:t>
      </w:r>
    </w:p>
    <w:p>
      <w:pPr>
        <w:pStyle w:val="Compact"/>
        <w:numPr>
          <w:ilvl w:val="0"/>
          <w:numId w:val="1015"/>
        </w:numPr>
      </w:pPr>
      <w:r>
        <w:t xml:space="preserve">MCP Protocol (Multi‑Agent): https://modelcontextprotocol.io/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week-5-identity-security-governance"/>
    <w:p>
      <w:pPr>
        <w:pStyle w:val="Heading2"/>
      </w:pPr>
      <w:r>
        <w:t xml:space="preserve">Week 5 — Identity, Security &amp; Governance</w:t>
      </w:r>
    </w:p>
    <w:bookmarkStart w:id="49" w:name="az305-objectives-4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16"/>
        </w:numPr>
      </w:pPr>
      <w:r>
        <w:t xml:space="preserve">Design identity flows</w:t>
      </w:r>
    </w:p>
    <w:p>
      <w:pPr>
        <w:pStyle w:val="Compact"/>
        <w:numPr>
          <w:ilvl w:val="0"/>
          <w:numId w:val="1016"/>
        </w:numPr>
      </w:pPr>
      <w:r>
        <w:t xml:space="preserve">Apply responsible AI principles</w:t>
      </w:r>
    </w:p>
    <w:p>
      <w:pPr>
        <w:pStyle w:val="Compact"/>
        <w:numPr>
          <w:ilvl w:val="0"/>
          <w:numId w:val="1016"/>
        </w:numPr>
      </w:pPr>
      <w:r>
        <w:t xml:space="preserve">Secure AI endpoints</w:t>
      </w:r>
    </w:p>
    <w:bookmarkEnd w:id="49"/>
    <w:bookmarkStart w:id="50" w:name="ai900-reinforcement-4"/>
    <w:p>
      <w:pPr>
        <w:pStyle w:val="Heading3"/>
      </w:pPr>
      <w:r>
        <w:t xml:space="preserve">AI‑900 Reinforcement</w:t>
      </w:r>
    </w:p>
    <w:p>
      <w:pPr>
        <w:pStyle w:val="BlockText"/>
      </w:pPr>
      <w:r>
        <w:t xml:space="preserve">“Never, ever, ever want to put API keys in your code… ideally use Entra identity.”</w:t>
      </w:r>
    </w:p>
    <w:bookmarkEnd w:id="50"/>
    <w:bookmarkStart w:id="51" w:name="architecture-diagram-4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[User]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[Entra ID] → [Token]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[App] → [AI Endpoint]</w:t>
      </w:r>
    </w:p>
    <w:bookmarkEnd w:id="51"/>
    <w:bookmarkStart w:id="52" w:name="tasks-4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7"/>
        </w:numPr>
      </w:pPr>
      <w:r>
        <w:t xml:space="preserve">Replace API keys with managed identity</w:t>
      </w:r>
    </w:p>
    <w:p>
      <w:pPr>
        <w:pStyle w:val="Compact"/>
        <w:numPr>
          <w:ilvl w:val="0"/>
          <w:numId w:val="1017"/>
        </w:numPr>
      </w:pPr>
      <w:r>
        <w:t xml:space="preserve">Apply Responsible AI principles to architecture</w:t>
      </w:r>
    </w:p>
    <w:bookmarkEnd w:id="52"/>
    <w:bookmarkStart w:id="53" w:name="section-references-week-5"/>
    <w:p>
      <w:pPr>
        <w:pStyle w:val="Heading3"/>
      </w:pPr>
      <w:r>
        <w:t xml:space="preserve">Section References — Week 5</w:t>
      </w:r>
    </w:p>
    <w:p>
      <w:pPr>
        <w:pStyle w:val="Compact"/>
        <w:numPr>
          <w:ilvl w:val="0"/>
          <w:numId w:val="1018"/>
        </w:numPr>
      </w:pPr>
      <w:r>
        <w:t xml:space="preserve">Entra ID Overview: https://learn.microsoft.com/entra/fundamentals/whatis</w:t>
      </w:r>
    </w:p>
    <w:p>
      <w:pPr>
        <w:pStyle w:val="Compact"/>
        <w:numPr>
          <w:ilvl w:val="0"/>
          <w:numId w:val="1018"/>
        </w:numPr>
      </w:pPr>
      <w:r>
        <w:t xml:space="preserve">Azure RBAC: https://learn.microsoft.com/azure/role-based-access-control/</w:t>
      </w:r>
    </w:p>
    <w:p>
      <w:pPr>
        <w:pStyle w:val="Compact"/>
        <w:numPr>
          <w:ilvl w:val="0"/>
          <w:numId w:val="1018"/>
        </w:numPr>
      </w:pPr>
      <w:r>
        <w:t xml:space="preserve">Responsible AI Overview: https://learn.microsoft.com/azure/ai-foundry/responsible-ai/responsible-ai-overview</w:t>
      </w:r>
    </w:p>
    <w:p>
      <w:pPr>
        <w:pStyle w:val="Compact"/>
        <w:numPr>
          <w:ilvl w:val="0"/>
          <w:numId w:val="1018"/>
        </w:numPr>
      </w:pPr>
      <w:r>
        <w:t xml:space="preserve">Azure AI Content Safety: https://learn.microsoft.com/azure/ai-services/content-safety/</w:t>
      </w:r>
    </w:p>
    <w:p>
      <w:pPr>
        <w:pStyle w:val="Compact"/>
        <w:numPr>
          <w:ilvl w:val="0"/>
          <w:numId w:val="1018"/>
        </w:numPr>
      </w:pPr>
      <w:r>
        <w:t xml:space="preserve">Private Endpoints: https://learn.microsoft.com/azure/private-link/private-endpoint-overview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week-6-cost-scaling-optimization"/>
    <w:p>
      <w:pPr>
        <w:pStyle w:val="Heading2"/>
      </w:pPr>
      <w:r>
        <w:t xml:space="preserve">Week 6 — Cost, Scaling &amp; Optimization</w:t>
      </w:r>
    </w:p>
    <w:bookmarkStart w:id="55" w:name="az305-objectives-5"/>
    <w:p>
      <w:pPr>
        <w:pStyle w:val="Heading3"/>
      </w:pPr>
      <w:r>
        <w:t xml:space="preserve">AZ‑305 Objectives</w:t>
      </w:r>
    </w:p>
    <w:p>
      <w:pPr>
        <w:pStyle w:val="Compact"/>
        <w:numPr>
          <w:ilvl w:val="0"/>
          <w:numId w:val="1019"/>
        </w:numPr>
      </w:pPr>
      <w:r>
        <w:t xml:space="preserve">Design scalable AI workloads</w:t>
      </w:r>
    </w:p>
    <w:p>
      <w:pPr>
        <w:pStyle w:val="Compact"/>
        <w:numPr>
          <w:ilvl w:val="0"/>
          <w:numId w:val="1019"/>
        </w:numPr>
      </w:pPr>
      <w:r>
        <w:t xml:space="preserve">Optimize cost using PTUs and autoscaling</w:t>
      </w:r>
    </w:p>
    <w:bookmarkEnd w:id="55"/>
    <w:bookmarkStart w:id="56" w:name="ai900-reinforcement-5"/>
    <w:p>
      <w:pPr>
        <w:pStyle w:val="Heading3"/>
      </w:pPr>
      <w:r>
        <w:t xml:space="preserve">AI‑900 Reinforcement</w:t>
      </w:r>
    </w:p>
    <w:p>
      <w:pPr>
        <w:pStyle w:val="BlockText"/>
      </w:pPr>
      <w:r>
        <w:t xml:space="preserve">“Provisioned throughput… must have a certain amount of capacity available with certain latency.”</w:t>
      </w:r>
    </w:p>
    <w:bookmarkEnd w:id="56"/>
    <w:bookmarkStart w:id="57" w:name="architecture-diagram-5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[Autoscale Rules]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[AI Endpoint] ←→ [PTUs]</w:t>
      </w:r>
    </w:p>
    <w:bookmarkEnd w:id="57"/>
    <w:bookmarkStart w:id="58" w:name="tasks-5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0"/>
        </w:numPr>
      </w:pPr>
      <w:r>
        <w:t xml:space="preserve">Evaluate PTU requirements for workloads</w:t>
      </w:r>
    </w:p>
    <w:p>
      <w:pPr>
        <w:pStyle w:val="Compact"/>
        <w:numPr>
          <w:ilvl w:val="0"/>
          <w:numId w:val="1020"/>
        </w:numPr>
      </w:pPr>
      <w:r>
        <w:t xml:space="preserve">Implement autoscaling rules</w:t>
      </w:r>
    </w:p>
    <w:bookmarkEnd w:id="58"/>
    <w:bookmarkStart w:id="59" w:name="section-references-week-6"/>
    <w:p>
      <w:pPr>
        <w:pStyle w:val="Heading3"/>
      </w:pPr>
      <w:r>
        <w:t xml:space="preserve">Section References — Week 6</w:t>
      </w:r>
    </w:p>
    <w:p>
      <w:pPr>
        <w:pStyle w:val="Compact"/>
        <w:numPr>
          <w:ilvl w:val="0"/>
          <w:numId w:val="1021"/>
        </w:numPr>
      </w:pPr>
      <w:r>
        <w:t xml:space="preserve">Azure OpenAI Provisioned Throughput: https://learn.microsoft.com/azure/ai-services/openai/how-to/provisioned-throughput</w:t>
      </w:r>
    </w:p>
    <w:p>
      <w:pPr>
        <w:pStyle w:val="Compact"/>
        <w:numPr>
          <w:ilvl w:val="0"/>
          <w:numId w:val="1021"/>
        </w:numPr>
      </w:pPr>
      <w:r>
        <w:t xml:space="preserve">Azure Autoscale: https://learn.microsoft.com/azure/azure-monitor/autoscale/autoscale-overview</w:t>
      </w:r>
    </w:p>
    <w:p>
      <w:pPr>
        <w:pStyle w:val="Compact"/>
        <w:numPr>
          <w:ilvl w:val="0"/>
          <w:numId w:val="1021"/>
        </w:numPr>
      </w:pPr>
      <w:r>
        <w:t xml:space="preserve">Azure Cost Management: https://learn.microsoft.com/azure/cost-management-billing/</w:t>
      </w:r>
    </w:p>
    <w:p>
      <w:pPr>
        <w:pStyle w:val="Compact"/>
        <w:numPr>
          <w:ilvl w:val="0"/>
          <w:numId w:val="1021"/>
        </w:numPr>
      </w:pPr>
      <w:r>
        <w:t xml:space="preserve">Azure Monitor: https://learn.microsoft.com/azure/azure-monitor/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section-7-deepdive-architecture-notes"/>
    <w:p>
      <w:pPr>
        <w:pStyle w:val="Heading1"/>
      </w:pPr>
      <w:r>
        <w:t xml:space="preserve">SECTION 7 — Deep‑Dive Architecture Notes</w:t>
      </w:r>
    </w:p>
    <w:bookmarkStart w:id="62" w:name="identity-access"/>
    <w:p>
      <w:pPr>
        <w:pStyle w:val="Heading2"/>
      </w:pPr>
      <w:r>
        <w:t xml:space="preserve">Identity &amp; Access</w:t>
      </w:r>
    </w:p>
    <w:p>
      <w:pPr>
        <w:pStyle w:val="Compact"/>
        <w:numPr>
          <w:ilvl w:val="0"/>
          <w:numId w:val="1022"/>
        </w:numPr>
      </w:pPr>
      <w:r>
        <w:t xml:space="preserve">Use Entra ID for all authentication</w:t>
      </w:r>
    </w:p>
    <w:p>
      <w:pPr>
        <w:pStyle w:val="Compact"/>
        <w:numPr>
          <w:ilvl w:val="0"/>
          <w:numId w:val="1022"/>
        </w:numPr>
      </w:pPr>
      <w:r>
        <w:t xml:space="preserve">Prefer managed identities over API keys</w:t>
      </w:r>
    </w:p>
    <w:p>
      <w:pPr>
        <w:pStyle w:val="Compact"/>
        <w:numPr>
          <w:ilvl w:val="0"/>
          <w:numId w:val="1022"/>
        </w:numPr>
      </w:pPr>
      <w:r>
        <w:t xml:space="preserve">Use RBAC for resource access</w:t>
      </w:r>
    </w:p>
    <w:bookmarkEnd w:id="62"/>
    <w:bookmarkStart w:id="63" w:name="model-deployment-patterns"/>
    <w:p>
      <w:pPr>
        <w:pStyle w:val="Heading2"/>
      </w:pPr>
      <w:r>
        <w:t xml:space="preserve">Model Deployment Patterns</w:t>
      </w:r>
    </w:p>
    <w:p>
      <w:pPr>
        <w:pStyle w:val="Compact"/>
        <w:numPr>
          <w:ilvl w:val="0"/>
          <w:numId w:val="1023"/>
        </w:numPr>
      </w:pPr>
      <w:r>
        <w:t xml:space="preserve">Global: broad availability</w:t>
      </w:r>
    </w:p>
    <w:p>
      <w:pPr>
        <w:pStyle w:val="Compact"/>
        <w:numPr>
          <w:ilvl w:val="0"/>
          <w:numId w:val="1023"/>
        </w:numPr>
      </w:pPr>
      <w:r>
        <w:t xml:space="preserve">Data‑zone: compliance boundaries</w:t>
      </w:r>
    </w:p>
    <w:p>
      <w:pPr>
        <w:pStyle w:val="Compact"/>
        <w:numPr>
          <w:ilvl w:val="0"/>
          <w:numId w:val="1023"/>
        </w:numPr>
      </w:pPr>
      <w:r>
        <w:t xml:space="preserve">Regional: lowest latency</w:t>
      </w:r>
    </w:p>
    <w:bookmarkEnd w:id="63"/>
    <w:bookmarkStart w:id="64" w:name="rag-architecture"/>
    <w:p>
      <w:pPr>
        <w:pStyle w:val="Heading2"/>
      </w:pPr>
      <w:r>
        <w:t xml:space="preserve">RAG Architecture</w:t>
      </w:r>
    </w:p>
    <w:p>
      <w:pPr>
        <w:pStyle w:val="Compact"/>
        <w:numPr>
          <w:ilvl w:val="0"/>
          <w:numId w:val="1024"/>
        </w:numPr>
      </w:pPr>
      <w:r>
        <w:t xml:space="preserve">Use Azure AI Search for vector indexing</w:t>
      </w:r>
    </w:p>
    <w:p>
      <w:pPr>
        <w:pStyle w:val="Compact"/>
        <w:numPr>
          <w:ilvl w:val="0"/>
          <w:numId w:val="1024"/>
        </w:numPr>
      </w:pPr>
      <w:r>
        <w:t xml:space="preserve">Combine embeddings + retrieval + generation</w:t>
      </w:r>
    </w:p>
    <w:bookmarkEnd w:id="64"/>
    <w:bookmarkStart w:id="65" w:name="agents-tools"/>
    <w:p>
      <w:pPr>
        <w:pStyle w:val="Heading2"/>
      </w:pPr>
      <w:r>
        <w:t xml:space="preserve">Agents &amp; Tools</w:t>
      </w:r>
    </w:p>
    <w:p>
      <w:pPr>
        <w:pStyle w:val="Compact"/>
        <w:numPr>
          <w:ilvl w:val="0"/>
          <w:numId w:val="1025"/>
        </w:numPr>
      </w:pPr>
      <w:r>
        <w:t xml:space="preserve">Prompt‑based vs hosted agents</w:t>
      </w:r>
    </w:p>
    <w:p>
      <w:pPr>
        <w:pStyle w:val="Compact"/>
        <w:numPr>
          <w:ilvl w:val="0"/>
          <w:numId w:val="1025"/>
        </w:numPr>
      </w:pPr>
      <w:r>
        <w:t xml:space="preserve">Tools extend agent capabilities</w:t>
      </w:r>
    </w:p>
    <w:p>
      <w:pPr>
        <w:pStyle w:val="Compact"/>
        <w:numPr>
          <w:ilvl w:val="0"/>
          <w:numId w:val="1025"/>
        </w:numPr>
      </w:pPr>
      <w:r>
        <w:t xml:space="preserve">MCP servers enable multi‑agent communication</w:t>
      </w:r>
    </w:p>
    <w:bookmarkEnd w:id="65"/>
    <w:bookmarkStart w:id="67" w:name="governance-responsible-ai"/>
    <w:p>
      <w:pPr>
        <w:pStyle w:val="Heading2"/>
      </w:pPr>
      <w:r>
        <w:t xml:space="preserve">Governance &amp; Responsible AI</w:t>
      </w:r>
    </w:p>
    <w:p>
      <w:pPr>
        <w:pStyle w:val="Compact"/>
        <w:numPr>
          <w:ilvl w:val="0"/>
          <w:numId w:val="1026"/>
        </w:numPr>
      </w:pPr>
      <w:r>
        <w:t xml:space="preserve">Fairness, safety, privacy, transparency</w:t>
      </w:r>
    </w:p>
    <w:p>
      <w:pPr>
        <w:pStyle w:val="Compact"/>
        <w:numPr>
          <w:ilvl w:val="0"/>
          <w:numId w:val="1026"/>
        </w:numPr>
      </w:pPr>
      <w:r>
        <w:t xml:space="preserve">Apply content filters and monitoring</w:t>
      </w:r>
    </w:p>
    <w:bookmarkStart w:id="66" w:name="section-references-deepdive-notes"/>
    <w:p>
      <w:pPr>
        <w:pStyle w:val="Heading3"/>
      </w:pPr>
      <w:r>
        <w:t xml:space="preserve">Section References — Deep‑Dive Notes</w:t>
      </w:r>
    </w:p>
    <w:p>
      <w:pPr>
        <w:pStyle w:val="Compact"/>
        <w:numPr>
          <w:ilvl w:val="0"/>
          <w:numId w:val="1027"/>
        </w:numPr>
      </w:pPr>
      <w:r>
        <w:t xml:space="preserve">Azure Architecture Center: https://learn.microsoft.com/azure/architecture/</w:t>
      </w:r>
    </w:p>
    <w:p>
      <w:pPr>
        <w:pStyle w:val="Compact"/>
        <w:numPr>
          <w:ilvl w:val="0"/>
          <w:numId w:val="1027"/>
        </w:numPr>
      </w:pPr>
      <w:r>
        <w:t xml:space="preserve">AI Architecture Patterns: https://learn.microsoft.com/azure/architecture/ai-ml/</w:t>
      </w:r>
    </w:p>
    <w:p>
      <w:pPr>
        <w:pStyle w:val="Compact"/>
        <w:numPr>
          <w:ilvl w:val="0"/>
          <w:numId w:val="1027"/>
        </w:numPr>
      </w:pPr>
      <w:r>
        <w:t xml:space="preserve">Azure AI Search Vector Indexing: https://learn.microsoft.com/azure/search/vector-search-overview</w:t>
      </w:r>
    </w:p>
    <w:p>
      <w:pPr>
        <w:pStyle w:val="Compact"/>
        <w:numPr>
          <w:ilvl w:val="0"/>
          <w:numId w:val="1027"/>
        </w:numPr>
      </w:pPr>
      <w:r>
        <w:t xml:space="preserve">Responsible AI Overview: https://learn.microsoft.com/azure/ai-foundry/responsible-ai/responsible-ai-overview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section-8-service-selection-guide"/>
    <w:p>
      <w:pPr>
        <w:pStyle w:val="Heading1"/>
      </w:pPr>
      <w:r>
        <w:t xml:space="preserve">SECTION 8 — Service Selection Guide</w:t>
      </w:r>
    </w:p>
    <w:bookmarkStart w:id="69" w:name="deterministic-vs-generative"/>
    <w:p>
      <w:pPr>
        <w:pStyle w:val="Heading2"/>
      </w:pPr>
      <w:r>
        <w:t xml:space="preserve">Deterministic vs Generative</w:t>
      </w:r>
    </w:p>
    <w:p>
      <w:pPr>
        <w:pStyle w:val="Compact"/>
        <w:numPr>
          <w:ilvl w:val="0"/>
          <w:numId w:val="1028"/>
        </w:numPr>
      </w:pPr>
      <w:r>
        <w:t xml:space="preserve">Deterministic: Form Recognizer, Translator</w:t>
      </w:r>
    </w:p>
    <w:p>
      <w:pPr>
        <w:pStyle w:val="Compact"/>
        <w:numPr>
          <w:ilvl w:val="0"/>
          <w:numId w:val="1028"/>
        </w:numPr>
      </w:pPr>
      <w:r>
        <w:t xml:space="preserve">Generative: GPT, Phi, multimodal models</w:t>
      </w:r>
    </w:p>
    <w:bookmarkEnd w:id="69"/>
    <w:bookmarkStart w:id="70" w:name="region-selection"/>
    <w:p>
      <w:pPr>
        <w:pStyle w:val="Heading2"/>
      </w:pPr>
      <w:r>
        <w:t xml:space="preserve">Region Selection</w:t>
      </w:r>
    </w:p>
    <w:p>
      <w:pPr>
        <w:pStyle w:val="Compact"/>
        <w:numPr>
          <w:ilvl w:val="0"/>
          <w:numId w:val="1029"/>
        </w:numPr>
      </w:pPr>
      <w:r>
        <w:t xml:space="preserve">Check model availability per region</w:t>
      </w:r>
    </w:p>
    <w:p>
      <w:pPr>
        <w:pStyle w:val="Compact"/>
        <w:numPr>
          <w:ilvl w:val="0"/>
          <w:numId w:val="1029"/>
        </w:numPr>
      </w:pPr>
      <w:r>
        <w:t xml:space="preserve">Apply compliance constraints</w:t>
      </w:r>
    </w:p>
    <w:bookmarkEnd w:id="70"/>
    <w:bookmarkStart w:id="72" w:name="cost-optimization"/>
    <w:p>
      <w:pPr>
        <w:pStyle w:val="Heading2"/>
      </w:pPr>
      <w:r>
        <w:t xml:space="preserve">Cost Optimization</w:t>
      </w:r>
    </w:p>
    <w:p>
      <w:pPr>
        <w:pStyle w:val="Compact"/>
        <w:numPr>
          <w:ilvl w:val="0"/>
          <w:numId w:val="1030"/>
        </w:numPr>
      </w:pPr>
      <w:r>
        <w:t xml:space="preserve">Use PTUs for predictable workloads</w:t>
      </w:r>
    </w:p>
    <w:p>
      <w:pPr>
        <w:pStyle w:val="Compact"/>
        <w:numPr>
          <w:ilvl w:val="0"/>
          <w:numId w:val="1030"/>
        </w:numPr>
      </w:pPr>
      <w:r>
        <w:t xml:space="preserve">Use autoscaling for variable workloads</w:t>
      </w:r>
    </w:p>
    <w:bookmarkStart w:id="71" w:name="section-references-service-selection"/>
    <w:p>
      <w:pPr>
        <w:pStyle w:val="Heading3"/>
      </w:pPr>
      <w:r>
        <w:t xml:space="preserve">Section References — Service Selection</w:t>
      </w:r>
    </w:p>
    <w:p>
      <w:pPr>
        <w:pStyle w:val="Compact"/>
        <w:numPr>
          <w:ilvl w:val="0"/>
          <w:numId w:val="1031"/>
        </w:numPr>
      </w:pPr>
      <w:r>
        <w:t xml:space="preserve">Azure AI Services Overview: https://learn.microsoft.com/azure/ai-services/</w:t>
      </w:r>
    </w:p>
    <w:p>
      <w:pPr>
        <w:pStyle w:val="Compact"/>
        <w:numPr>
          <w:ilvl w:val="0"/>
          <w:numId w:val="1031"/>
        </w:numPr>
      </w:pPr>
      <w:r>
        <w:t xml:space="preserve">Azure OpenAI Models: https://learn.microsoft.com/azure/ai-services/openai/concepts/models</w:t>
      </w:r>
    </w:p>
    <w:p>
      <w:pPr>
        <w:pStyle w:val="Compact"/>
        <w:numPr>
          <w:ilvl w:val="0"/>
          <w:numId w:val="1031"/>
        </w:numPr>
      </w:pPr>
      <w:r>
        <w:t xml:space="preserve">Azure Region Availability: https://learn.microsoft.com/azure/reliability/regions</w:t>
      </w:r>
    </w:p>
    <w:p>
      <w:pPr>
        <w:pStyle w:val="Compact"/>
        <w:numPr>
          <w:ilvl w:val="0"/>
          <w:numId w:val="1031"/>
        </w:numPr>
      </w:pPr>
      <w:r>
        <w:t xml:space="preserve">Azure Cost Management: https://learn.microsoft.com/azure/cost-management-billing/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section-9-key-patterns-diagrams"/>
    <w:p>
      <w:pPr>
        <w:pStyle w:val="Heading1"/>
      </w:pPr>
      <w:r>
        <w:t xml:space="preserve">SECTION 9 — Key Patterns &amp; Diagrams</w:t>
      </w:r>
    </w:p>
    <w:bookmarkStart w:id="74" w:name="identity-flow"/>
    <w:p>
      <w:pPr>
        <w:pStyle w:val="Heading2"/>
      </w:pPr>
      <w:r>
        <w:t xml:space="preserve">Identity Flow</w:t>
      </w:r>
    </w:p>
    <w:p>
      <w:pPr>
        <w:pStyle w:val="SourceCode"/>
      </w:pPr>
      <w:r>
        <w:rPr>
          <w:rStyle w:val="VerbatimChar"/>
        </w:rPr>
        <w:t xml:space="preserve">User → Entra ID → Token → App → AI Endpoint</w:t>
      </w:r>
    </w:p>
    <w:bookmarkEnd w:id="74"/>
    <w:bookmarkStart w:id="75" w:name="rag-flow"/>
    <w:p>
      <w:pPr>
        <w:pStyle w:val="Heading2"/>
      </w:pPr>
      <w:r>
        <w:t xml:space="preserve">RAG Flow</w:t>
      </w:r>
    </w:p>
    <w:p>
      <w:pPr>
        <w:pStyle w:val="SourceCode"/>
      </w:pPr>
      <w:r>
        <w:rPr>
          <w:rStyle w:val="VerbatimChar"/>
        </w:rPr>
        <w:t xml:space="preserve">Query → Embeddings → Vector Search → Context → Model</w:t>
      </w:r>
    </w:p>
    <w:bookmarkEnd w:id="75"/>
    <w:bookmarkStart w:id="77" w:name="multiagent-flow"/>
    <w:p>
      <w:pPr>
        <w:pStyle w:val="Heading2"/>
      </w:pPr>
      <w:r>
        <w:t xml:space="preserve">Multi‑Agent Flow</w:t>
      </w:r>
    </w:p>
    <w:p>
      <w:pPr>
        <w:pStyle w:val="SourceCode"/>
      </w:pPr>
      <w:r>
        <w:rPr>
          <w:rStyle w:val="VerbatimChar"/>
        </w:rPr>
        <w:t xml:space="preserve">Agent A ↔ Tool ↔ Agent B ↔ Model</w:t>
      </w:r>
    </w:p>
    <w:bookmarkStart w:id="76" w:name="section-references-patterns-diagrams"/>
    <w:p>
      <w:pPr>
        <w:pStyle w:val="Heading3"/>
      </w:pPr>
      <w:r>
        <w:t xml:space="preserve">Section References — Patterns &amp; Diagrams</w:t>
      </w:r>
    </w:p>
    <w:p>
      <w:pPr>
        <w:pStyle w:val="Compact"/>
        <w:numPr>
          <w:ilvl w:val="0"/>
          <w:numId w:val="1032"/>
        </w:numPr>
      </w:pPr>
      <w:r>
        <w:t xml:space="preserve">RAG Architecture: https://learn.microsoft.com/azure/architecture/ai-ml/guide/rag-overview</w:t>
      </w:r>
    </w:p>
    <w:p>
      <w:pPr>
        <w:pStyle w:val="Compact"/>
        <w:numPr>
          <w:ilvl w:val="0"/>
          <w:numId w:val="1032"/>
        </w:numPr>
      </w:pPr>
      <w:r>
        <w:t xml:space="preserve">Azure AI Agent Service: https://learn.microsoft.com/azure/ai-services/agents/overview</w:t>
      </w:r>
    </w:p>
    <w:p>
      <w:pPr>
        <w:pStyle w:val="Compact"/>
        <w:numPr>
          <w:ilvl w:val="0"/>
          <w:numId w:val="1032"/>
        </w:numPr>
      </w:pPr>
      <w:r>
        <w:t xml:space="preserve">MCP Protocol: https://modelcontextprotocol.io/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full-consolidated-references"/>
    <w:p>
      <w:pPr>
        <w:pStyle w:val="Heading1"/>
      </w:pPr>
      <w:r>
        <w:t xml:space="preserve">FULL CONSOLIDATED REFERENCES</w:t>
      </w:r>
    </w:p>
    <w:bookmarkStart w:id="79" w:name="microsoft-learn-official"/>
    <w:p>
      <w:pPr>
        <w:pStyle w:val="Heading2"/>
      </w:pPr>
      <w:r>
        <w:t xml:space="preserve">Microsoft Learn (Official)</w:t>
      </w:r>
    </w:p>
    <w:p>
      <w:pPr>
        <w:pStyle w:val="Compact"/>
        <w:numPr>
          <w:ilvl w:val="0"/>
          <w:numId w:val="1033"/>
        </w:numPr>
      </w:pPr>
      <w:r>
        <w:t xml:space="preserve">Azure AI Services: https://learn.microsoft.com/azure/ai-services/</w:t>
      </w:r>
    </w:p>
    <w:p>
      <w:pPr>
        <w:pStyle w:val="Compact"/>
        <w:numPr>
          <w:ilvl w:val="0"/>
          <w:numId w:val="1033"/>
        </w:numPr>
      </w:pPr>
      <w:r>
        <w:t xml:space="preserve">Azure OpenAI Service: https://learn.microsoft.com/azure/ai-services/openai/</w:t>
      </w:r>
    </w:p>
    <w:p>
      <w:pPr>
        <w:pStyle w:val="Compact"/>
        <w:numPr>
          <w:ilvl w:val="0"/>
          <w:numId w:val="1033"/>
        </w:numPr>
      </w:pPr>
      <w:r>
        <w:t xml:space="preserve">Azure AI Search: https://learn.microsoft.com/azure/search/</w:t>
      </w:r>
    </w:p>
    <w:p>
      <w:pPr>
        <w:pStyle w:val="Compact"/>
        <w:numPr>
          <w:ilvl w:val="0"/>
          <w:numId w:val="1033"/>
        </w:numPr>
      </w:pPr>
      <w:r>
        <w:t xml:space="preserve">Microsoft Entra Documentation: https://learn.microsoft.com/entra/</w:t>
      </w:r>
    </w:p>
    <w:p>
      <w:pPr>
        <w:pStyle w:val="Compact"/>
        <w:numPr>
          <w:ilvl w:val="0"/>
          <w:numId w:val="1033"/>
        </w:numPr>
      </w:pPr>
      <w:r>
        <w:t xml:space="preserve">Azure Architecture Center: https://learn.microsoft.com/azure/architecture/</w:t>
      </w:r>
    </w:p>
    <w:p>
      <w:pPr>
        <w:pStyle w:val="Compact"/>
        <w:numPr>
          <w:ilvl w:val="0"/>
          <w:numId w:val="1033"/>
        </w:numPr>
      </w:pPr>
      <w:r>
        <w:t xml:space="preserve">Responsible AI: https://learn.microsoft.com/azure/ai-foundry/responsible-ai/responsible-ai-overview</w:t>
      </w:r>
    </w:p>
    <w:bookmarkEnd w:id="79"/>
    <w:bookmarkStart w:id="80" w:name="john-savill-resources"/>
    <w:p>
      <w:pPr>
        <w:pStyle w:val="Heading2"/>
      </w:pPr>
      <w:r>
        <w:t xml:space="preserve">John Savill Resources</w:t>
      </w:r>
    </w:p>
    <w:p>
      <w:pPr>
        <w:pStyle w:val="Compact"/>
        <w:numPr>
          <w:ilvl w:val="0"/>
          <w:numId w:val="1034"/>
        </w:numPr>
      </w:pPr>
      <w:r>
        <w:t xml:space="preserve">AI‑900 Deep Dive: https://www.youtube.com/watch?v=Hc3RIBsY4b0</w:t>
      </w:r>
    </w:p>
    <w:p>
      <w:pPr>
        <w:pStyle w:val="Compact"/>
        <w:numPr>
          <w:ilvl w:val="0"/>
          <w:numId w:val="1034"/>
        </w:numPr>
      </w:pPr>
      <w:r>
        <w:t xml:space="preserve">Azure Master Class: https://www.youtube.com/c/NTFAQGuy</w:t>
      </w:r>
    </w:p>
    <w:bookmarkEnd w:id="80"/>
    <w:bookmarkStart w:id="81" w:name="architecture-blogs-technical-sources"/>
    <w:p>
      <w:pPr>
        <w:pStyle w:val="Heading2"/>
      </w:pPr>
      <w:r>
        <w:t xml:space="preserve">Architecture Blogs &amp; Technical Sources</w:t>
      </w:r>
    </w:p>
    <w:p>
      <w:pPr>
        <w:pStyle w:val="Compact"/>
        <w:numPr>
          <w:ilvl w:val="0"/>
          <w:numId w:val="1035"/>
        </w:numPr>
      </w:pPr>
      <w:r>
        <w:t xml:space="preserve">Microsoft Tech Community AI Architecture: https://techcommunity.microsoft.com/</w:t>
      </w:r>
    </w:p>
    <w:p>
      <w:pPr>
        <w:pStyle w:val="Compact"/>
        <w:numPr>
          <w:ilvl w:val="0"/>
          <w:numId w:val="1035"/>
        </w:numPr>
      </w:pPr>
      <w:r>
        <w:t xml:space="preserve">Azure Updates (Model Availability): https://azure.microsoft.com/updates/</w:t>
      </w:r>
    </w:p>
    <w:p>
      <w:pPr>
        <w:pStyle w:val="Compact"/>
        <w:numPr>
          <w:ilvl w:val="0"/>
          <w:numId w:val="1035"/>
        </w:numPr>
      </w:pPr>
      <w:r>
        <w:t xml:space="preserve">Model Context Protocol (MCP): https://modelcontextprotocol.io/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links-replaced-updated"/>
    <w:p>
      <w:pPr>
        <w:pStyle w:val="Heading1"/>
      </w:pPr>
      <w:r>
        <w:t xml:space="preserve">LINKS REPLACED / UPDATED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Link</w:t>
            </w:r>
          </w:p>
        </w:tc>
        <w:tc>
          <w:tcPr/>
          <w:p>
            <w:pPr>
              <w:pStyle w:val="Compact"/>
            </w:pPr>
            <w:r>
              <w:t xml:space="preserve">Replacement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https://learn.microsoft.com/azure/active-directory/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https://learn.microsoft.com/entra/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https://learn.microsoft.com/azure/active-directory/managed-identities-azure-resources/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https://learn.microsoft.com/entra/identity/managed-identities-azure-resources/overview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https://learn.microsoft.com/azure/active-directory/fundamentals/active-directory-whatis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https://learn.microsoft.com/entra/fundamentals/whatis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https://learn.microsoft.com/azure/ai-services/agents/</w:t>
            </w:r>
          </w:p>
        </w:tc>
        <w:tc>
          <w:tcPr/>
          <w:p>
            <w:pPr>
              <w:pStyle w:val="Compact"/>
            </w:pPr>
            <w:r>
              <w:t xml:space="preserve">https://learn.microsoft.com/azure/ai-services/agents/overview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https://learn.microsoft.com/azure/ai-services/responsible-use-of-ai-overview</w:t>
            </w:r>
          </w:p>
        </w:tc>
        <w:tc>
          <w:tcPr/>
          <w:p>
            <w:pPr>
              <w:pStyle w:val="Compact"/>
            </w:pPr>
            <w:r>
              <w:t xml:space="preserve">https://learn.microsoft.com/azure/ai-foundry/responsible-ai/responsible-ai-overview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https://learn.microsoft.com/compliance/regulatory/data-residency</w:t>
            </w:r>
          </w:p>
        </w:tc>
        <w:tc>
          <w:tcPr/>
          <w:p>
            <w:pPr>
              <w:pStyle w:val="Compact"/>
            </w:pPr>
            <w:r>
              <w:t xml:space="preserve">https://learn.microsoft.com/compliance/regulatory/offering-data-residency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https://learn.microsoft.com/azure/ai-services/openai/concepts/models#model-availability</w:t>
            </w:r>
          </w:p>
        </w:tc>
        <w:tc>
          <w:tcPr/>
          <w:p>
            <w:pPr>
              <w:pStyle w:val="Compact"/>
            </w:pPr>
            <w:r>
              <w:t xml:space="preserve">https://learn.microsoft.com/azure/ai-services/openai/concepts/models#model-summary-table-and-region-availability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2026-05-19T14:14:49Z</dcterms:created>
  <dcterms:modified xsi:type="dcterms:W3CDTF">2026-05-19T14:14:49Z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