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7533C" w14:textId="77777777" w:rsidR="00F77E71" w:rsidRDefault="00000000">
      <w:pPr>
        <w:tabs>
          <w:tab w:val="left" w:pos="2304"/>
        </w:tabs>
        <w:jc w:val="center"/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sz w:val="36"/>
          <w:szCs w:val="36"/>
        </w:rPr>
        <w:t>Coach WAR: A Counterfactual Approach to Evaluating NFL Head Coach Impact in the Modern Era</w:t>
      </w:r>
    </w:p>
    <w:p w14:paraId="70112419" w14:textId="77777777" w:rsidR="00F77E71" w:rsidRDefault="00000000">
      <w:pPr>
        <w:tabs>
          <w:tab w:val="left" w:pos="2304"/>
        </w:tabs>
        <w:jc w:val="center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Football</w:t>
      </w:r>
    </w:p>
    <w:p w14:paraId="5CA2C44C" w14:textId="77777777" w:rsidR="00F77E71" w:rsidRDefault="00F77E71">
      <w:pPr>
        <w:tabs>
          <w:tab w:val="left" w:pos="2304"/>
        </w:tabs>
        <w:rPr>
          <w:rFonts w:ascii="Cambria" w:hAnsi="Cambria"/>
        </w:rPr>
      </w:pPr>
    </w:p>
    <w:p w14:paraId="6B518321" w14:textId="77777777" w:rsidR="00F77E71" w:rsidRDefault="00000000">
      <w:pPr>
        <w:pStyle w:val="ListParagraph"/>
        <w:numPr>
          <w:ilvl w:val="0"/>
          <w:numId w:val="1"/>
        </w:numPr>
        <w:tabs>
          <w:tab w:val="left" w:pos="2304"/>
        </w:tabs>
        <w:rPr>
          <w:rFonts w:ascii="Cambria" w:hAnsi="Cambria"/>
          <w:b/>
          <w:sz w:val="32"/>
          <w:szCs w:val="32"/>
        </w:rPr>
      </w:pPr>
      <w:r>
        <w:rPr>
          <w:rFonts w:ascii="Cambria" w:hAnsi="Cambria"/>
          <w:b/>
          <w:sz w:val="32"/>
          <w:szCs w:val="32"/>
        </w:rPr>
        <w:t>Introduction</w:t>
      </w:r>
    </w:p>
    <w:p w14:paraId="31207BEE" w14:textId="77777777" w:rsidR="00F77E71" w:rsidRDefault="00F77E71">
      <w:pPr>
        <w:tabs>
          <w:tab w:val="left" w:pos="2304"/>
        </w:tabs>
        <w:rPr>
          <w:rFonts w:ascii="Cambria" w:hAnsi="Cambria"/>
        </w:rPr>
      </w:pPr>
    </w:p>
    <w:p w14:paraId="463F2583" w14:textId="1A4FAD64" w:rsidR="00F77E71" w:rsidRDefault="00000000">
      <w:pPr>
        <w:tabs>
          <w:tab w:val="left" w:pos="2304"/>
        </w:tabs>
        <w:spacing w:after="2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NFL head coaches are often judged on win-loss records, which conflate coaching with roster talent, schedule, injuries, and cap health. Wins Above Replacement (WAR) </w:t>
      </w:r>
      <w:r w:rsidR="00D03C0A">
        <w:rPr>
          <w:rFonts w:ascii="Cambria" w:hAnsi="Cambria"/>
          <w:sz w:val="22"/>
          <w:szCs w:val="22"/>
        </w:rPr>
        <w:t>models have</w:t>
      </w:r>
      <w:r>
        <w:rPr>
          <w:rFonts w:ascii="Cambria" w:hAnsi="Cambria"/>
          <w:sz w:val="22"/>
          <w:szCs w:val="22"/>
        </w:rPr>
        <w:t xml:space="preserve"> previously isolated individual value </w:t>
      </w:r>
      <w:r w:rsidR="00D03C0A">
        <w:rPr>
          <w:rFonts w:ascii="Cambria" w:hAnsi="Cambria"/>
          <w:sz w:val="22"/>
          <w:szCs w:val="22"/>
        </w:rPr>
        <w:t xml:space="preserve">for players </w:t>
      </w:r>
      <w:r>
        <w:rPr>
          <w:rFonts w:ascii="Cambria" w:hAnsi="Cambria"/>
          <w:sz w:val="22"/>
          <w:szCs w:val="22"/>
        </w:rPr>
        <w:t>in baseball [1] and offensive players</w:t>
      </w:r>
      <w:r w:rsidR="00D03C0A">
        <w:rPr>
          <w:rFonts w:ascii="Cambria" w:hAnsi="Cambria"/>
          <w:sz w:val="22"/>
          <w:szCs w:val="22"/>
        </w:rPr>
        <w:t xml:space="preserve"> in the NFL</w:t>
      </w:r>
      <w:r>
        <w:rPr>
          <w:rFonts w:ascii="Cambria" w:hAnsi="Cambria"/>
          <w:sz w:val="22"/>
          <w:szCs w:val="22"/>
        </w:rPr>
        <w:t xml:space="preserve"> [2]. We extend it to head coaches, asking how many wins a coach adds over a replacement-level coach given the team context.</w:t>
      </w:r>
    </w:p>
    <w:p w14:paraId="7F8EFA70" w14:textId="77777777" w:rsidR="00F77E71" w:rsidRDefault="00000000">
      <w:pPr>
        <w:pStyle w:val="ListParagraph"/>
        <w:numPr>
          <w:ilvl w:val="0"/>
          <w:numId w:val="1"/>
        </w:numPr>
        <w:tabs>
          <w:tab w:val="left" w:pos="2304"/>
        </w:tabs>
        <w:rPr>
          <w:rFonts w:ascii="Cambria" w:hAnsi="Cambria"/>
          <w:b/>
          <w:sz w:val="32"/>
          <w:szCs w:val="32"/>
        </w:rPr>
      </w:pPr>
      <w:r>
        <w:rPr>
          <w:rFonts w:ascii="Cambria" w:hAnsi="Cambria"/>
          <w:b/>
          <w:sz w:val="32"/>
          <w:szCs w:val="32"/>
        </w:rPr>
        <w:t>Methods</w:t>
      </w:r>
    </w:p>
    <w:p w14:paraId="2B2A9173" w14:textId="77777777" w:rsidR="00F77E71" w:rsidRDefault="00F77E71">
      <w:pPr>
        <w:tabs>
          <w:tab w:val="left" w:pos="2304"/>
        </w:tabs>
        <w:rPr>
          <w:rFonts w:ascii="Cambria" w:hAnsi="Cambria"/>
        </w:rPr>
      </w:pPr>
    </w:p>
    <w:p w14:paraId="1B1ABEDF" w14:textId="3BAB0E24" w:rsidR="00F77E71" w:rsidRDefault="00000000">
      <w:pPr>
        <w:tabs>
          <w:tab w:val="left" w:pos="2304"/>
        </w:tabs>
        <w:spacing w:after="2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We assembled 1,637 modern-era team-seasons (1970–2024) with 365 features from Pro Football Reference and Spotrac: draft capital, roster turnover, age and experience by position, starter injuries, positional cap allocation, strength of schedule, and 139 coaching features describing each head coach’s experience and era-normalized team results from all prior seasons as coordinator and head coach. An XGBoost model [3] predicts winning percentage. For each team-season, we substitute a replacement-level coaching profile (the median of coaches’ career-average features) and re-predict; Coach WAR is actual minus replacement-level wins per 16 games. We </w:t>
      </w:r>
      <w:proofErr w:type="gramStart"/>
      <w:r>
        <w:rPr>
          <w:rFonts w:ascii="Cambria" w:hAnsi="Cambria"/>
          <w:sz w:val="22"/>
          <w:szCs w:val="22"/>
        </w:rPr>
        <w:t>validate on</w:t>
      </w:r>
      <w:proofErr w:type="gramEnd"/>
      <w:r>
        <w:rPr>
          <w:rFonts w:ascii="Cambria" w:hAnsi="Cambria"/>
          <w:sz w:val="22"/>
          <w:szCs w:val="22"/>
        </w:rPr>
        <w:t xml:space="preserve"> 54 coaches held out with all their seasons, imputing missing data separately within training and test sets to prevent leakage, then refit on all seasons to estimate WAR. Career estimates carry </w:t>
      </w:r>
      <w:r>
        <w:rPr>
          <w:rFonts w:ascii="Cambria" w:hAnsi="Cambria"/>
          <w:i/>
          <w:sz w:val="22"/>
          <w:szCs w:val="22"/>
        </w:rPr>
        <w:t>t</w:t>
      </w:r>
      <w:r>
        <w:rPr>
          <w:rFonts w:ascii="Cambria" w:hAnsi="Cambria"/>
          <w:sz w:val="22"/>
          <w:szCs w:val="22"/>
        </w:rPr>
        <w:t>-based 95% confidence intervals, and a Benjamini-Hochberg (BH) correction [4] controls the false discovery rate across 13 tests.</w:t>
      </w:r>
    </w:p>
    <w:p w14:paraId="6C193F89" w14:textId="77777777" w:rsidR="00F77E71" w:rsidRDefault="00000000">
      <w:pPr>
        <w:pStyle w:val="ListParagraph"/>
        <w:numPr>
          <w:ilvl w:val="0"/>
          <w:numId w:val="1"/>
        </w:numPr>
        <w:tabs>
          <w:tab w:val="left" w:pos="2304"/>
        </w:tabs>
        <w:rPr>
          <w:rFonts w:ascii="Cambria" w:hAnsi="Cambria"/>
          <w:b/>
          <w:sz w:val="32"/>
          <w:szCs w:val="32"/>
        </w:rPr>
      </w:pPr>
      <w:r>
        <w:rPr>
          <w:rFonts w:ascii="Cambria" w:hAnsi="Cambria"/>
          <w:b/>
          <w:sz w:val="32"/>
          <w:szCs w:val="32"/>
        </w:rPr>
        <w:t>Results</w:t>
      </w:r>
    </w:p>
    <w:p w14:paraId="1FA75266" w14:textId="77777777" w:rsidR="00F77E71" w:rsidRDefault="00F77E71">
      <w:pPr>
        <w:tabs>
          <w:tab w:val="left" w:pos="2304"/>
        </w:tabs>
        <w:rPr>
          <w:rFonts w:ascii="Cambria" w:hAnsi="Cambria"/>
        </w:rPr>
      </w:pPr>
    </w:p>
    <w:p w14:paraId="7110CE9F" w14:textId="59164A38" w:rsidR="00F77E71" w:rsidRDefault="00000000">
      <w:pPr>
        <w:tabs>
          <w:tab w:val="left" w:pos="2304"/>
        </w:tabs>
        <w:spacing w:after="2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On held-out coaches the model reaches </w:t>
      </w:r>
      <w:r>
        <w:rPr>
          <w:rFonts w:ascii="Cambria" w:hAnsi="Cambria"/>
          <w:i/>
          <w:sz w:val="22"/>
          <w:szCs w:val="22"/>
        </w:rPr>
        <w:t>R</w:t>
      </w:r>
      <w:r>
        <w:rPr>
          <w:rFonts w:ascii="Cambria" w:hAnsi="Cambria"/>
          <w:sz w:val="22"/>
          <w:szCs w:val="22"/>
          <w:vertAlign w:val="superscript"/>
        </w:rPr>
        <w:t>2</w:t>
      </w:r>
      <w:r>
        <w:rPr>
          <w:rFonts w:ascii="Cambria" w:hAnsi="Cambria"/>
          <w:sz w:val="22"/>
          <w:szCs w:val="22"/>
        </w:rPr>
        <w:t xml:space="preserve"> = 0.43 (RMSE of 2.5 wins per season), near the 1.9-win binomial noise floor of a 16-game </w:t>
      </w:r>
      <w:proofErr w:type="gramStart"/>
      <w:r>
        <w:rPr>
          <w:rFonts w:ascii="Cambria" w:hAnsi="Cambria"/>
          <w:sz w:val="22"/>
          <w:szCs w:val="22"/>
        </w:rPr>
        <w:t>season, and</w:t>
      </w:r>
      <w:proofErr w:type="gramEnd"/>
      <w:r>
        <w:rPr>
          <w:rFonts w:ascii="Cambria" w:hAnsi="Cambria"/>
          <w:sz w:val="22"/>
          <w:szCs w:val="22"/>
        </w:rPr>
        <w:t xml:space="preserve"> nearly triples the out-of-sample </w:t>
      </w:r>
      <w:r>
        <w:rPr>
          <w:rFonts w:ascii="Cambria" w:hAnsi="Cambria"/>
          <w:i/>
          <w:sz w:val="22"/>
          <w:szCs w:val="22"/>
        </w:rPr>
        <w:t>R</w:t>
      </w:r>
      <w:r>
        <w:rPr>
          <w:rFonts w:ascii="Cambria" w:hAnsi="Cambria"/>
          <w:sz w:val="22"/>
          <w:szCs w:val="22"/>
          <w:vertAlign w:val="superscript"/>
        </w:rPr>
        <w:t>2</w:t>
      </w:r>
      <w:r>
        <w:rPr>
          <w:rFonts w:ascii="Cambria" w:hAnsi="Cambria"/>
          <w:sz w:val="22"/>
          <w:szCs w:val="22"/>
        </w:rPr>
        <w:t xml:space="preserve"> of tuned ridge regression (0.15), though a ridge-based WAR ranks coaches similarly (Spearman </w:t>
      </w:r>
      <w:r>
        <w:rPr>
          <w:rFonts w:ascii="Cambria" w:hAnsi="Cambria"/>
          <w:i/>
          <w:sz w:val="22"/>
          <w:szCs w:val="22"/>
        </w:rPr>
        <w:t>ρ</w:t>
      </w:r>
      <w:r>
        <w:rPr>
          <w:rFonts w:ascii="Cambria" w:hAnsi="Cambria"/>
          <w:sz w:val="22"/>
          <w:szCs w:val="22"/>
        </w:rPr>
        <w:t xml:space="preserve"> = 0.81). Roughly 3.8 wins per season separate 95th- and 5th-percentile coaches. John Madden has the best career mark (+2.3 WAR per season, 95% CI [+1.4, +3.2]); Table 1 lists the best and worst coaches</w:t>
      </w:r>
      <w:r w:rsidR="00F00E4C">
        <w:rPr>
          <w:rFonts w:ascii="Cambria" w:hAnsi="Cambria"/>
          <w:sz w:val="22"/>
          <w:szCs w:val="22"/>
        </w:rPr>
        <w:t xml:space="preserve"> based on average WAR per season for coaches with at least 3 </w:t>
      </w:r>
      <w:proofErr w:type="gramStart"/>
      <w:r w:rsidR="00F00E4C">
        <w:rPr>
          <w:rFonts w:ascii="Cambria" w:hAnsi="Cambria"/>
          <w:sz w:val="22"/>
          <w:szCs w:val="22"/>
        </w:rPr>
        <w:t>seasons</w:t>
      </w:r>
      <w:proofErr w:type="gramEnd"/>
      <w:r w:rsidR="00F00E4C">
        <w:rPr>
          <w:rFonts w:ascii="Cambria" w:hAnsi="Cambria"/>
          <w:sz w:val="22"/>
          <w:szCs w:val="22"/>
        </w:rPr>
        <w:t xml:space="preserve"> coached</w:t>
      </w:r>
      <w:r>
        <w:rPr>
          <w:rFonts w:ascii="Cambria" w:hAnsi="Cambria"/>
          <w:sz w:val="22"/>
          <w:szCs w:val="22"/>
        </w:rPr>
        <w:t>.</w:t>
      </w:r>
    </w:p>
    <w:p w14:paraId="2CD3931D" w14:textId="77777777" w:rsidR="00F77E71" w:rsidRDefault="00000000">
      <w:pPr>
        <w:keepNext/>
        <w:tabs>
          <w:tab w:val="left" w:pos="2304"/>
        </w:tabs>
        <w:spacing w:after="220"/>
        <w:jc w:val="center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lastRenderedPageBreak/>
        <w:t>Table 1. Top and bottom 10 coaches by career WAR (wins per season), 3+ seasons</w:t>
      </w:r>
    </w:p>
    <w:tbl>
      <w:tblPr>
        <w:tblW w:w="6400" w:type="dxa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300"/>
        <w:gridCol w:w="1000"/>
        <w:gridCol w:w="1200"/>
        <w:gridCol w:w="1900"/>
      </w:tblGrid>
      <w:tr w:rsidR="00F77E71" w14:paraId="566FAAF2" w14:textId="77777777">
        <w:trPr>
          <w:tblHeader/>
          <w:jc w:val="center"/>
        </w:trPr>
        <w:tc>
          <w:tcPr>
            <w:tcW w:w="2300" w:type="dxa"/>
            <w:tcBorders>
              <w:bottom w:val="single" w:sz="4" w:space="0" w:color="000000"/>
            </w:tcBorders>
            <w:vAlign w:val="center"/>
          </w:tcPr>
          <w:p w14:paraId="4BBF81FF" w14:textId="77777777" w:rsidR="00F77E71" w:rsidRDefault="00000000">
            <w:pPr>
              <w:keepNext/>
              <w:spacing w:before="20" w:after="20"/>
            </w:pPr>
            <w:r>
              <w:rPr>
                <w:rFonts w:ascii="Cambria" w:hAnsi="Cambria"/>
                <w:b/>
                <w:sz w:val="20"/>
                <w:szCs w:val="20"/>
              </w:rPr>
              <w:t>Coach</w:t>
            </w:r>
          </w:p>
        </w:tc>
        <w:tc>
          <w:tcPr>
            <w:tcW w:w="1000" w:type="dxa"/>
            <w:tcBorders>
              <w:bottom w:val="single" w:sz="4" w:space="0" w:color="000000"/>
            </w:tcBorders>
            <w:vAlign w:val="center"/>
          </w:tcPr>
          <w:p w14:paraId="0CEAF1E6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b/>
                <w:sz w:val="20"/>
                <w:szCs w:val="20"/>
              </w:rPr>
              <w:t>Seasons</w:t>
            </w:r>
          </w:p>
        </w:tc>
        <w:tc>
          <w:tcPr>
            <w:tcW w:w="1200" w:type="dxa"/>
            <w:tcBorders>
              <w:bottom w:val="single" w:sz="4" w:space="0" w:color="000000"/>
            </w:tcBorders>
            <w:vAlign w:val="center"/>
          </w:tcPr>
          <w:p w14:paraId="2C4ECB5D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b/>
                <w:sz w:val="20"/>
                <w:szCs w:val="20"/>
              </w:rPr>
              <w:t>Avg. WAR</w:t>
            </w:r>
          </w:p>
        </w:tc>
        <w:tc>
          <w:tcPr>
            <w:tcW w:w="1900" w:type="dxa"/>
            <w:tcBorders>
              <w:bottom w:val="single" w:sz="4" w:space="0" w:color="000000"/>
            </w:tcBorders>
            <w:vAlign w:val="center"/>
          </w:tcPr>
          <w:p w14:paraId="65DC7B36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b/>
                <w:sz w:val="20"/>
                <w:szCs w:val="20"/>
              </w:rPr>
              <w:t>95% CI</w:t>
            </w:r>
          </w:p>
        </w:tc>
      </w:tr>
      <w:tr w:rsidR="00F77E71" w14:paraId="38FC0439" w14:textId="77777777">
        <w:trPr>
          <w:jc w:val="center"/>
        </w:trPr>
        <w:tc>
          <w:tcPr>
            <w:tcW w:w="2300" w:type="dxa"/>
            <w:vAlign w:val="center"/>
          </w:tcPr>
          <w:p w14:paraId="14FDE813" w14:textId="77777777" w:rsidR="00F77E71" w:rsidRDefault="00000000">
            <w:pPr>
              <w:keepNext/>
              <w:spacing w:before="20" w:after="20"/>
            </w:pPr>
            <w:r>
              <w:rPr>
                <w:rFonts w:ascii="Cambria" w:hAnsi="Cambria"/>
                <w:sz w:val="20"/>
                <w:szCs w:val="20"/>
              </w:rPr>
              <w:t>John Madden</w:t>
            </w:r>
          </w:p>
        </w:tc>
        <w:tc>
          <w:tcPr>
            <w:tcW w:w="1000" w:type="dxa"/>
            <w:vAlign w:val="center"/>
          </w:tcPr>
          <w:p w14:paraId="6BBCD26D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9</w:t>
            </w:r>
          </w:p>
        </w:tc>
        <w:tc>
          <w:tcPr>
            <w:tcW w:w="1200" w:type="dxa"/>
            <w:vAlign w:val="center"/>
          </w:tcPr>
          <w:p w14:paraId="45E1A246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+2.3</w:t>
            </w:r>
          </w:p>
        </w:tc>
        <w:tc>
          <w:tcPr>
            <w:tcW w:w="1900" w:type="dxa"/>
            <w:vAlign w:val="center"/>
          </w:tcPr>
          <w:p w14:paraId="7C1B28E0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[+1.4, +3.2]</w:t>
            </w:r>
          </w:p>
        </w:tc>
      </w:tr>
      <w:tr w:rsidR="00F77E71" w14:paraId="2B89856D" w14:textId="77777777">
        <w:trPr>
          <w:jc w:val="center"/>
        </w:trPr>
        <w:tc>
          <w:tcPr>
            <w:tcW w:w="2300" w:type="dxa"/>
            <w:vAlign w:val="center"/>
          </w:tcPr>
          <w:p w14:paraId="373AD972" w14:textId="77777777" w:rsidR="00F77E71" w:rsidRDefault="00000000">
            <w:pPr>
              <w:keepNext/>
              <w:spacing w:before="20" w:after="20"/>
            </w:pPr>
            <w:r>
              <w:rPr>
                <w:rFonts w:ascii="Cambria" w:hAnsi="Cambria"/>
                <w:sz w:val="20"/>
                <w:szCs w:val="20"/>
              </w:rPr>
              <w:t>Kevin O’Connell</w:t>
            </w:r>
          </w:p>
        </w:tc>
        <w:tc>
          <w:tcPr>
            <w:tcW w:w="1000" w:type="dxa"/>
            <w:vAlign w:val="center"/>
          </w:tcPr>
          <w:p w14:paraId="67B4C2FA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1200" w:type="dxa"/>
            <w:vAlign w:val="center"/>
          </w:tcPr>
          <w:p w14:paraId="1CA8E57C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+1.9</w:t>
            </w:r>
          </w:p>
        </w:tc>
        <w:tc>
          <w:tcPr>
            <w:tcW w:w="1900" w:type="dxa"/>
            <w:vAlign w:val="center"/>
          </w:tcPr>
          <w:p w14:paraId="167898C5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[−0.1, +3.9]</w:t>
            </w:r>
          </w:p>
        </w:tc>
      </w:tr>
      <w:tr w:rsidR="00F77E71" w14:paraId="27BEC6BE" w14:textId="77777777">
        <w:trPr>
          <w:jc w:val="center"/>
        </w:trPr>
        <w:tc>
          <w:tcPr>
            <w:tcW w:w="2300" w:type="dxa"/>
            <w:vAlign w:val="center"/>
          </w:tcPr>
          <w:p w14:paraId="55D0617E" w14:textId="77777777" w:rsidR="00F77E71" w:rsidRDefault="00000000">
            <w:pPr>
              <w:keepNext/>
              <w:spacing w:before="20" w:after="20"/>
            </w:pPr>
            <w:r>
              <w:rPr>
                <w:rFonts w:ascii="Cambria" w:hAnsi="Cambria"/>
                <w:sz w:val="20"/>
                <w:szCs w:val="20"/>
              </w:rPr>
              <w:t>Mike McDaniel</w:t>
            </w:r>
          </w:p>
        </w:tc>
        <w:tc>
          <w:tcPr>
            <w:tcW w:w="1000" w:type="dxa"/>
            <w:vAlign w:val="center"/>
          </w:tcPr>
          <w:p w14:paraId="3638EFC6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1200" w:type="dxa"/>
            <w:vAlign w:val="center"/>
          </w:tcPr>
          <w:p w14:paraId="41533FF8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+1.9</w:t>
            </w:r>
          </w:p>
        </w:tc>
        <w:tc>
          <w:tcPr>
            <w:tcW w:w="1900" w:type="dxa"/>
            <w:vAlign w:val="center"/>
          </w:tcPr>
          <w:p w14:paraId="31C9DA0C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[−0.6, +4.4]</w:t>
            </w:r>
          </w:p>
        </w:tc>
      </w:tr>
      <w:tr w:rsidR="00F77E71" w14:paraId="5066AB05" w14:textId="77777777">
        <w:trPr>
          <w:jc w:val="center"/>
        </w:trPr>
        <w:tc>
          <w:tcPr>
            <w:tcW w:w="2300" w:type="dxa"/>
            <w:vAlign w:val="center"/>
          </w:tcPr>
          <w:p w14:paraId="5CDB2C55" w14:textId="77777777" w:rsidR="00F77E71" w:rsidRDefault="00000000">
            <w:pPr>
              <w:keepNext/>
              <w:spacing w:before="20" w:after="20"/>
            </w:pPr>
            <w:r>
              <w:rPr>
                <w:rFonts w:ascii="Cambria" w:hAnsi="Cambria"/>
                <w:sz w:val="20"/>
                <w:szCs w:val="20"/>
              </w:rPr>
              <w:t>John Ralston</w:t>
            </w:r>
          </w:p>
        </w:tc>
        <w:tc>
          <w:tcPr>
            <w:tcW w:w="1000" w:type="dxa"/>
            <w:vAlign w:val="center"/>
          </w:tcPr>
          <w:p w14:paraId="5F409364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5</w:t>
            </w:r>
          </w:p>
        </w:tc>
        <w:tc>
          <w:tcPr>
            <w:tcW w:w="1200" w:type="dxa"/>
            <w:vAlign w:val="center"/>
          </w:tcPr>
          <w:p w14:paraId="4B634D5A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+1.8</w:t>
            </w:r>
          </w:p>
        </w:tc>
        <w:tc>
          <w:tcPr>
            <w:tcW w:w="1900" w:type="dxa"/>
            <w:vAlign w:val="center"/>
          </w:tcPr>
          <w:p w14:paraId="3B9B505C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[+1.1, +2.5]</w:t>
            </w:r>
          </w:p>
        </w:tc>
      </w:tr>
      <w:tr w:rsidR="00F77E71" w14:paraId="76B41E10" w14:textId="77777777">
        <w:trPr>
          <w:jc w:val="center"/>
        </w:trPr>
        <w:tc>
          <w:tcPr>
            <w:tcW w:w="2300" w:type="dxa"/>
            <w:vAlign w:val="center"/>
          </w:tcPr>
          <w:p w14:paraId="0DBBB13E" w14:textId="77777777" w:rsidR="00F77E71" w:rsidRDefault="00000000">
            <w:pPr>
              <w:keepNext/>
              <w:spacing w:before="20" w:after="20"/>
            </w:pPr>
            <w:r>
              <w:rPr>
                <w:rFonts w:ascii="Cambria" w:hAnsi="Cambria"/>
                <w:sz w:val="20"/>
                <w:szCs w:val="20"/>
              </w:rPr>
              <w:t>Kevin Stefanski</w:t>
            </w:r>
          </w:p>
        </w:tc>
        <w:tc>
          <w:tcPr>
            <w:tcW w:w="1000" w:type="dxa"/>
            <w:vAlign w:val="center"/>
          </w:tcPr>
          <w:p w14:paraId="748B4381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5</w:t>
            </w:r>
          </w:p>
        </w:tc>
        <w:tc>
          <w:tcPr>
            <w:tcW w:w="1200" w:type="dxa"/>
            <w:vAlign w:val="center"/>
          </w:tcPr>
          <w:p w14:paraId="1DA99D9B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+1.8</w:t>
            </w:r>
          </w:p>
        </w:tc>
        <w:tc>
          <w:tcPr>
            <w:tcW w:w="1900" w:type="dxa"/>
            <w:vAlign w:val="center"/>
          </w:tcPr>
          <w:p w14:paraId="0F1012F6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[−0.5, +4.0]</w:t>
            </w:r>
          </w:p>
        </w:tc>
      </w:tr>
      <w:tr w:rsidR="00F77E71" w14:paraId="375F660B" w14:textId="77777777">
        <w:trPr>
          <w:jc w:val="center"/>
        </w:trPr>
        <w:tc>
          <w:tcPr>
            <w:tcW w:w="2300" w:type="dxa"/>
            <w:vAlign w:val="center"/>
          </w:tcPr>
          <w:p w14:paraId="76F23C94" w14:textId="77777777" w:rsidR="00F77E71" w:rsidRDefault="00000000">
            <w:pPr>
              <w:keepNext/>
              <w:spacing w:before="20" w:after="20"/>
            </w:pPr>
            <w:r>
              <w:rPr>
                <w:rFonts w:ascii="Cambria" w:hAnsi="Cambria"/>
                <w:sz w:val="20"/>
                <w:szCs w:val="20"/>
              </w:rPr>
              <w:t>Nick Sirianni</w:t>
            </w:r>
          </w:p>
        </w:tc>
        <w:tc>
          <w:tcPr>
            <w:tcW w:w="1000" w:type="dxa"/>
            <w:vAlign w:val="center"/>
          </w:tcPr>
          <w:p w14:paraId="460AE1D7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4</w:t>
            </w:r>
          </w:p>
        </w:tc>
        <w:tc>
          <w:tcPr>
            <w:tcW w:w="1200" w:type="dxa"/>
            <w:vAlign w:val="center"/>
          </w:tcPr>
          <w:p w14:paraId="2A86DA7C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+1.6</w:t>
            </w:r>
          </w:p>
        </w:tc>
        <w:tc>
          <w:tcPr>
            <w:tcW w:w="1900" w:type="dxa"/>
            <w:vAlign w:val="center"/>
          </w:tcPr>
          <w:p w14:paraId="127897AC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[−0.2, +3.3]</w:t>
            </w:r>
          </w:p>
        </w:tc>
      </w:tr>
      <w:tr w:rsidR="00F77E71" w14:paraId="5349DB6A" w14:textId="77777777">
        <w:trPr>
          <w:jc w:val="center"/>
        </w:trPr>
        <w:tc>
          <w:tcPr>
            <w:tcW w:w="2300" w:type="dxa"/>
            <w:vAlign w:val="center"/>
          </w:tcPr>
          <w:p w14:paraId="61DA958D" w14:textId="77777777" w:rsidR="00F77E71" w:rsidRDefault="00000000">
            <w:pPr>
              <w:keepNext/>
              <w:spacing w:before="20" w:after="20"/>
            </w:pPr>
            <w:r>
              <w:rPr>
                <w:rFonts w:ascii="Cambria" w:hAnsi="Cambria"/>
                <w:sz w:val="20"/>
                <w:szCs w:val="20"/>
              </w:rPr>
              <w:t>Don Shula</w:t>
            </w:r>
          </w:p>
        </w:tc>
        <w:tc>
          <w:tcPr>
            <w:tcW w:w="1000" w:type="dxa"/>
            <w:vAlign w:val="center"/>
          </w:tcPr>
          <w:p w14:paraId="19A82F19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26</w:t>
            </w:r>
          </w:p>
        </w:tc>
        <w:tc>
          <w:tcPr>
            <w:tcW w:w="1200" w:type="dxa"/>
            <w:vAlign w:val="center"/>
          </w:tcPr>
          <w:p w14:paraId="642382A2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+1.5</w:t>
            </w:r>
          </w:p>
        </w:tc>
        <w:tc>
          <w:tcPr>
            <w:tcW w:w="1900" w:type="dxa"/>
            <w:vAlign w:val="center"/>
          </w:tcPr>
          <w:p w14:paraId="415775AA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[+1.2, +1.9]</w:t>
            </w:r>
          </w:p>
        </w:tc>
      </w:tr>
      <w:tr w:rsidR="00F77E71" w14:paraId="462DEB23" w14:textId="77777777">
        <w:trPr>
          <w:jc w:val="center"/>
        </w:trPr>
        <w:tc>
          <w:tcPr>
            <w:tcW w:w="2300" w:type="dxa"/>
            <w:vAlign w:val="center"/>
          </w:tcPr>
          <w:p w14:paraId="5373577C" w14:textId="77777777" w:rsidR="00F77E71" w:rsidRDefault="00000000">
            <w:pPr>
              <w:keepNext/>
              <w:spacing w:before="20" w:after="20"/>
            </w:pPr>
            <w:r>
              <w:rPr>
                <w:rFonts w:ascii="Cambria" w:hAnsi="Cambria"/>
                <w:sz w:val="20"/>
                <w:szCs w:val="20"/>
              </w:rPr>
              <w:t>Kyle Shanahan</w:t>
            </w:r>
          </w:p>
        </w:tc>
        <w:tc>
          <w:tcPr>
            <w:tcW w:w="1000" w:type="dxa"/>
            <w:vAlign w:val="center"/>
          </w:tcPr>
          <w:p w14:paraId="0AF0120F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8</w:t>
            </w:r>
          </w:p>
        </w:tc>
        <w:tc>
          <w:tcPr>
            <w:tcW w:w="1200" w:type="dxa"/>
            <w:vAlign w:val="center"/>
          </w:tcPr>
          <w:p w14:paraId="36F16D0B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+1.5</w:t>
            </w:r>
          </w:p>
        </w:tc>
        <w:tc>
          <w:tcPr>
            <w:tcW w:w="1900" w:type="dxa"/>
            <w:vAlign w:val="center"/>
          </w:tcPr>
          <w:p w14:paraId="66F0FD2F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[+0.5, +2.6]</w:t>
            </w:r>
          </w:p>
        </w:tc>
      </w:tr>
      <w:tr w:rsidR="00F77E71" w14:paraId="23D71BE5" w14:textId="77777777">
        <w:trPr>
          <w:jc w:val="center"/>
        </w:trPr>
        <w:tc>
          <w:tcPr>
            <w:tcW w:w="2300" w:type="dxa"/>
            <w:vAlign w:val="center"/>
          </w:tcPr>
          <w:p w14:paraId="6AA2693E" w14:textId="77777777" w:rsidR="00F77E71" w:rsidRDefault="00000000">
            <w:pPr>
              <w:keepNext/>
              <w:spacing w:before="20" w:after="20"/>
            </w:pPr>
            <w:r>
              <w:rPr>
                <w:rFonts w:ascii="Cambria" w:hAnsi="Cambria"/>
                <w:sz w:val="20"/>
                <w:szCs w:val="20"/>
              </w:rPr>
              <w:t>Bill Parcells</w:t>
            </w:r>
          </w:p>
        </w:tc>
        <w:tc>
          <w:tcPr>
            <w:tcW w:w="1000" w:type="dxa"/>
            <w:vAlign w:val="center"/>
          </w:tcPr>
          <w:p w14:paraId="73AC4CF5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19</w:t>
            </w:r>
          </w:p>
        </w:tc>
        <w:tc>
          <w:tcPr>
            <w:tcW w:w="1200" w:type="dxa"/>
            <w:vAlign w:val="center"/>
          </w:tcPr>
          <w:p w14:paraId="34114040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+1.4</w:t>
            </w:r>
          </w:p>
        </w:tc>
        <w:tc>
          <w:tcPr>
            <w:tcW w:w="1900" w:type="dxa"/>
            <w:vAlign w:val="center"/>
          </w:tcPr>
          <w:p w14:paraId="14DAAACC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[+0.8, +2.0]</w:t>
            </w:r>
          </w:p>
        </w:tc>
      </w:tr>
      <w:tr w:rsidR="00F77E71" w14:paraId="5734F684" w14:textId="77777777">
        <w:trPr>
          <w:jc w:val="center"/>
        </w:trPr>
        <w:tc>
          <w:tcPr>
            <w:tcW w:w="2300" w:type="dxa"/>
            <w:tcBorders>
              <w:bottom w:val="single" w:sz="4" w:space="0" w:color="000000"/>
            </w:tcBorders>
            <w:vAlign w:val="center"/>
          </w:tcPr>
          <w:p w14:paraId="0E55D41F" w14:textId="77777777" w:rsidR="00F77E71" w:rsidRDefault="00000000">
            <w:pPr>
              <w:keepNext/>
              <w:spacing w:before="20" w:after="20"/>
            </w:pPr>
            <w:r>
              <w:rPr>
                <w:rFonts w:ascii="Cambria" w:hAnsi="Cambria"/>
                <w:sz w:val="20"/>
                <w:szCs w:val="20"/>
              </w:rPr>
              <w:t>Gene Stallings</w:t>
            </w:r>
          </w:p>
        </w:tc>
        <w:tc>
          <w:tcPr>
            <w:tcW w:w="1000" w:type="dxa"/>
            <w:tcBorders>
              <w:bottom w:val="single" w:sz="4" w:space="0" w:color="000000"/>
            </w:tcBorders>
            <w:vAlign w:val="center"/>
          </w:tcPr>
          <w:p w14:paraId="0DB75805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bottom w:val="single" w:sz="4" w:space="0" w:color="000000"/>
            </w:tcBorders>
            <w:vAlign w:val="center"/>
          </w:tcPr>
          <w:p w14:paraId="4DB8787B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+1.4</w:t>
            </w:r>
          </w:p>
        </w:tc>
        <w:tc>
          <w:tcPr>
            <w:tcW w:w="1900" w:type="dxa"/>
            <w:tcBorders>
              <w:bottom w:val="single" w:sz="4" w:space="0" w:color="000000"/>
            </w:tcBorders>
            <w:vAlign w:val="center"/>
          </w:tcPr>
          <w:p w14:paraId="38F2D728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[−1.4, +4.1]</w:t>
            </w:r>
          </w:p>
        </w:tc>
      </w:tr>
      <w:tr w:rsidR="00F77E71" w14:paraId="6679C1D7" w14:textId="77777777">
        <w:trPr>
          <w:jc w:val="center"/>
        </w:trPr>
        <w:tc>
          <w:tcPr>
            <w:tcW w:w="2300" w:type="dxa"/>
            <w:vAlign w:val="center"/>
          </w:tcPr>
          <w:p w14:paraId="25E20FC1" w14:textId="77777777" w:rsidR="00F77E71" w:rsidRDefault="00000000">
            <w:pPr>
              <w:keepNext/>
              <w:spacing w:before="20" w:after="20"/>
            </w:pPr>
            <w:r>
              <w:rPr>
                <w:rFonts w:ascii="Cambria" w:hAnsi="Cambria"/>
                <w:sz w:val="20"/>
                <w:szCs w:val="20"/>
              </w:rPr>
              <w:t>J.D. Roberts</w:t>
            </w:r>
          </w:p>
        </w:tc>
        <w:tc>
          <w:tcPr>
            <w:tcW w:w="1000" w:type="dxa"/>
            <w:vAlign w:val="center"/>
          </w:tcPr>
          <w:p w14:paraId="6C8324DE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1200" w:type="dxa"/>
            <w:vAlign w:val="center"/>
          </w:tcPr>
          <w:p w14:paraId="7E2A5CF8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−2.1</w:t>
            </w:r>
          </w:p>
        </w:tc>
        <w:tc>
          <w:tcPr>
            <w:tcW w:w="1900" w:type="dxa"/>
            <w:vAlign w:val="center"/>
          </w:tcPr>
          <w:p w14:paraId="3A3D8DE8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[−4.2, −0.0]</w:t>
            </w:r>
          </w:p>
        </w:tc>
      </w:tr>
      <w:tr w:rsidR="00F77E71" w14:paraId="7AC2A745" w14:textId="77777777">
        <w:trPr>
          <w:jc w:val="center"/>
        </w:trPr>
        <w:tc>
          <w:tcPr>
            <w:tcW w:w="2300" w:type="dxa"/>
            <w:vAlign w:val="center"/>
          </w:tcPr>
          <w:p w14:paraId="680E36A9" w14:textId="77777777" w:rsidR="00F77E71" w:rsidRDefault="00000000">
            <w:pPr>
              <w:keepNext/>
              <w:spacing w:before="20" w:after="20"/>
            </w:pPr>
            <w:r>
              <w:rPr>
                <w:rFonts w:ascii="Cambria" w:hAnsi="Cambria"/>
                <w:sz w:val="20"/>
                <w:szCs w:val="20"/>
              </w:rPr>
              <w:t>Bruce Coslet</w:t>
            </w:r>
          </w:p>
        </w:tc>
        <w:tc>
          <w:tcPr>
            <w:tcW w:w="1000" w:type="dxa"/>
            <w:vAlign w:val="center"/>
          </w:tcPr>
          <w:p w14:paraId="0453DE45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8</w:t>
            </w:r>
          </w:p>
        </w:tc>
        <w:tc>
          <w:tcPr>
            <w:tcW w:w="1200" w:type="dxa"/>
            <w:vAlign w:val="center"/>
          </w:tcPr>
          <w:p w14:paraId="2082AD9F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−2.3</w:t>
            </w:r>
          </w:p>
        </w:tc>
        <w:tc>
          <w:tcPr>
            <w:tcW w:w="1900" w:type="dxa"/>
            <w:vAlign w:val="center"/>
          </w:tcPr>
          <w:p w14:paraId="504B7B36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[−3.4, −1.1]</w:t>
            </w:r>
          </w:p>
        </w:tc>
      </w:tr>
      <w:tr w:rsidR="00F77E71" w14:paraId="758C8602" w14:textId="77777777">
        <w:trPr>
          <w:jc w:val="center"/>
        </w:trPr>
        <w:tc>
          <w:tcPr>
            <w:tcW w:w="2300" w:type="dxa"/>
            <w:vAlign w:val="center"/>
          </w:tcPr>
          <w:p w14:paraId="18980E69" w14:textId="77777777" w:rsidR="00F77E71" w:rsidRDefault="00000000">
            <w:pPr>
              <w:keepNext/>
              <w:spacing w:before="20" w:after="20"/>
            </w:pPr>
            <w:r>
              <w:rPr>
                <w:rFonts w:ascii="Cambria" w:hAnsi="Cambria"/>
                <w:sz w:val="20"/>
                <w:szCs w:val="20"/>
              </w:rPr>
              <w:t>David Shula</w:t>
            </w:r>
          </w:p>
        </w:tc>
        <w:tc>
          <w:tcPr>
            <w:tcW w:w="1000" w:type="dxa"/>
            <w:vAlign w:val="center"/>
          </w:tcPr>
          <w:p w14:paraId="1C6D8DDD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5</w:t>
            </w:r>
          </w:p>
        </w:tc>
        <w:tc>
          <w:tcPr>
            <w:tcW w:w="1200" w:type="dxa"/>
            <w:vAlign w:val="center"/>
          </w:tcPr>
          <w:p w14:paraId="31E82835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−2.3</w:t>
            </w:r>
          </w:p>
        </w:tc>
        <w:tc>
          <w:tcPr>
            <w:tcW w:w="1900" w:type="dxa"/>
            <w:vAlign w:val="center"/>
          </w:tcPr>
          <w:p w14:paraId="325B59B0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[−5.5, +0.9]</w:t>
            </w:r>
          </w:p>
        </w:tc>
      </w:tr>
      <w:tr w:rsidR="00F77E71" w14:paraId="68280375" w14:textId="77777777">
        <w:trPr>
          <w:jc w:val="center"/>
        </w:trPr>
        <w:tc>
          <w:tcPr>
            <w:tcW w:w="2300" w:type="dxa"/>
            <w:vAlign w:val="center"/>
          </w:tcPr>
          <w:p w14:paraId="2AFDE919" w14:textId="77777777" w:rsidR="00F77E71" w:rsidRDefault="00000000">
            <w:pPr>
              <w:keepNext/>
              <w:spacing w:before="20" w:after="20"/>
            </w:pPr>
            <w:r>
              <w:rPr>
                <w:rFonts w:ascii="Cambria" w:hAnsi="Cambria"/>
                <w:sz w:val="20"/>
                <w:szCs w:val="20"/>
              </w:rPr>
              <w:t>Paul Wiggin</w:t>
            </w:r>
          </w:p>
        </w:tc>
        <w:tc>
          <w:tcPr>
            <w:tcW w:w="1000" w:type="dxa"/>
            <w:vAlign w:val="center"/>
          </w:tcPr>
          <w:p w14:paraId="69E42CFC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1200" w:type="dxa"/>
            <w:vAlign w:val="center"/>
          </w:tcPr>
          <w:p w14:paraId="719EB5A2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−2.4</w:t>
            </w:r>
          </w:p>
        </w:tc>
        <w:tc>
          <w:tcPr>
            <w:tcW w:w="1900" w:type="dxa"/>
            <w:vAlign w:val="center"/>
          </w:tcPr>
          <w:p w14:paraId="70AAEBE1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[−5.4, +0.6]</w:t>
            </w:r>
          </w:p>
        </w:tc>
      </w:tr>
      <w:tr w:rsidR="00F77E71" w14:paraId="02E511D1" w14:textId="77777777">
        <w:trPr>
          <w:jc w:val="center"/>
        </w:trPr>
        <w:tc>
          <w:tcPr>
            <w:tcW w:w="2300" w:type="dxa"/>
            <w:vAlign w:val="center"/>
          </w:tcPr>
          <w:p w14:paraId="62198EEC" w14:textId="77777777" w:rsidR="00F77E71" w:rsidRDefault="00000000">
            <w:pPr>
              <w:keepNext/>
              <w:spacing w:before="20" w:after="20"/>
            </w:pPr>
            <w:r>
              <w:rPr>
                <w:rFonts w:ascii="Cambria" w:hAnsi="Cambria"/>
                <w:sz w:val="20"/>
                <w:szCs w:val="20"/>
              </w:rPr>
              <w:t>Jack Patera</w:t>
            </w:r>
          </w:p>
        </w:tc>
        <w:tc>
          <w:tcPr>
            <w:tcW w:w="1000" w:type="dxa"/>
            <w:vAlign w:val="center"/>
          </w:tcPr>
          <w:p w14:paraId="098CD166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7</w:t>
            </w:r>
          </w:p>
        </w:tc>
        <w:tc>
          <w:tcPr>
            <w:tcW w:w="1200" w:type="dxa"/>
            <w:vAlign w:val="center"/>
          </w:tcPr>
          <w:p w14:paraId="7A49EB7A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−2.5</w:t>
            </w:r>
          </w:p>
        </w:tc>
        <w:tc>
          <w:tcPr>
            <w:tcW w:w="1900" w:type="dxa"/>
            <w:vAlign w:val="center"/>
          </w:tcPr>
          <w:p w14:paraId="00DB94B8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[−4.5, −0.5]</w:t>
            </w:r>
          </w:p>
        </w:tc>
      </w:tr>
      <w:tr w:rsidR="00F77E71" w14:paraId="5879F84A" w14:textId="77777777">
        <w:trPr>
          <w:jc w:val="center"/>
        </w:trPr>
        <w:tc>
          <w:tcPr>
            <w:tcW w:w="2300" w:type="dxa"/>
            <w:vAlign w:val="center"/>
          </w:tcPr>
          <w:p w14:paraId="28E93088" w14:textId="77777777" w:rsidR="00F77E71" w:rsidRDefault="00000000">
            <w:pPr>
              <w:keepNext/>
              <w:spacing w:before="20" w:after="20"/>
            </w:pPr>
            <w:r>
              <w:rPr>
                <w:rFonts w:ascii="Cambria" w:hAnsi="Cambria"/>
                <w:sz w:val="20"/>
                <w:szCs w:val="20"/>
              </w:rPr>
              <w:t>Rod Marinelli</w:t>
            </w:r>
          </w:p>
        </w:tc>
        <w:tc>
          <w:tcPr>
            <w:tcW w:w="1000" w:type="dxa"/>
            <w:vAlign w:val="center"/>
          </w:tcPr>
          <w:p w14:paraId="14F799D3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1200" w:type="dxa"/>
            <w:vAlign w:val="center"/>
          </w:tcPr>
          <w:p w14:paraId="79D4F89F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−2.5</w:t>
            </w:r>
          </w:p>
        </w:tc>
        <w:tc>
          <w:tcPr>
            <w:tcW w:w="1900" w:type="dxa"/>
            <w:vAlign w:val="center"/>
          </w:tcPr>
          <w:p w14:paraId="7A52E076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[−6.2, +1.1]</w:t>
            </w:r>
          </w:p>
        </w:tc>
      </w:tr>
      <w:tr w:rsidR="00F77E71" w14:paraId="46DA847B" w14:textId="77777777">
        <w:trPr>
          <w:jc w:val="center"/>
        </w:trPr>
        <w:tc>
          <w:tcPr>
            <w:tcW w:w="2300" w:type="dxa"/>
            <w:vAlign w:val="center"/>
          </w:tcPr>
          <w:p w14:paraId="5A371E9A" w14:textId="77777777" w:rsidR="00F77E71" w:rsidRDefault="00000000">
            <w:pPr>
              <w:keepNext/>
              <w:spacing w:before="20" w:after="20"/>
            </w:pPr>
            <w:r>
              <w:rPr>
                <w:rFonts w:ascii="Cambria" w:hAnsi="Cambria"/>
                <w:sz w:val="20"/>
                <w:szCs w:val="20"/>
              </w:rPr>
              <w:t>Matt Eberflus</w:t>
            </w:r>
          </w:p>
        </w:tc>
        <w:tc>
          <w:tcPr>
            <w:tcW w:w="1000" w:type="dxa"/>
            <w:vAlign w:val="center"/>
          </w:tcPr>
          <w:p w14:paraId="0F9DCD1E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1200" w:type="dxa"/>
            <w:vAlign w:val="center"/>
          </w:tcPr>
          <w:p w14:paraId="33D2C334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−2.9</w:t>
            </w:r>
          </w:p>
        </w:tc>
        <w:tc>
          <w:tcPr>
            <w:tcW w:w="1900" w:type="dxa"/>
            <w:vAlign w:val="center"/>
          </w:tcPr>
          <w:p w14:paraId="37976A6C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[−5.8, +0.0]</w:t>
            </w:r>
          </w:p>
        </w:tc>
      </w:tr>
      <w:tr w:rsidR="00F77E71" w14:paraId="6A93A9D3" w14:textId="77777777">
        <w:trPr>
          <w:jc w:val="center"/>
        </w:trPr>
        <w:tc>
          <w:tcPr>
            <w:tcW w:w="2300" w:type="dxa"/>
            <w:vAlign w:val="center"/>
          </w:tcPr>
          <w:p w14:paraId="481934F4" w14:textId="77777777" w:rsidR="00F77E71" w:rsidRDefault="00000000">
            <w:pPr>
              <w:keepNext/>
              <w:spacing w:before="20" w:after="20"/>
            </w:pPr>
            <w:r>
              <w:rPr>
                <w:rFonts w:ascii="Cambria" w:hAnsi="Cambria"/>
                <w:sz w:val="20"/>
                <w:szCs w:val="20"/>
              </w:rPr>
              <w:t>Scott Linehan</w:t>
            </w:r>
          </w:p>
        </w:tc>
        <w:tc>
          <w:tcPr>
            <w:tcW w:w="1000" w:type="dxa"/>
            <w:vAlign w:val="center"/>
          </w:tcPr>
          <w:p w14:paraId="0A115F6B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1200" w:type="dxa"/>
            <w:vAlign w:val="center"/>
          </w:tcPr>
          <w:p w14:paraId="57863920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−3.0</w:t>
            </w:r>
          </w:p>
        </w:tc>
        <w:tc>
          <w:tcPr>
            <w:tcW w:w="1900" w:type="dxa"/>
            <w:vAlign w:val="center"/>
          </w:tcPr>
          <w:p w14:paraId="534A75BD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[−7.3, +1.3]</w:t>
            </w:r>
          </w:p>
        </w:tc>
      </w:tr>
      <w:tr w:rsidR="00F77E71" w14:paraId="0CEAC618" w14:textId="77777777">
        <w:trPr>
          <w:jc w:val="center"/>
        </w:trPr>
        <w:tc>
          <w:tcPr>
            <w:tcW w:w="2300" w:type="dxa"/>
            <w:vAlign w:val="center"/>
          </w:tcPr>
          <w:p w14:paraId="3DE6FF82" w14:textId="77777777" w:rsidR="00F77E71" w:rsidRDefault="00000000">
            <w:pPr>
              <w:keepNext/>
              <w:spacing w:before="20" w:after="20"/>
            </w:pPr>
            <w:r>
              <w:rPr>
                <w:rFonts w:ascii="Cambria" w:hAnsi="Cambria"/>
                <w:sz w:val="20"/>
                <w:szCs w:val="20"/>
              </w:rPr>
              <w:t>Pat Shurmur</w:t>
            </w:r>
          </w:p>
        </w:tc>
        <w:tc>
          <w:tcPr>
            <w:tcW w:w="1000" w:type="dxa"/>
            <w:vAlign w:val="center"/>
          </w:tcPr>
          <w:p w14:paraId="61E501BB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4</w:t>
            </w:r>
          </w:p>
        </w:tc>
        <w:tc>
          <w:tcPr>
            <w:tcW w:w="1200" w:type="dxa"/>
            <w:vAlign w:val="center"/>
          </w:tcPr>
          <w:p w14:paraId="2980452B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−3.1</w:t>
            </w:r>
          </w:p>
        </w:tc>
        <w:tc>
          <w:tcPr>
            <w:tcW w:w="1900" w:type="dxa"/>
            <w:vAlign w:val="center"/>
          </w:tcPr>
          <w:p w14:paraId="38EA3B1E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[−5.0, −1.2]</w:t>
            </w:r>
          </w:p>
        </w:tc>
      </w:tr>
      <w:tr w:rsidR="00F77E71" w14:paraId="4411EB09" w14:textId="77777777">
        <w:trPr>
          <w:jc w:val="center"/>
        </w:trPr>
        <w:tc>
          <w:tcPr>
            <w:tcW w:w="2300" w:type="dxa"/>
            <w:vAlign w:val="center"/>
          </w:tcPr>
          <w:p w14:paraId="25BE322E" w14:textId="77777777" w:rsidR="00F77E71" w:rsidRDefault="00000000">
            <w:pPr>
              <w:keepNext/>
              <w:spacing w:before="20" w:after="20"/>
            </w:pPr>
            <w:r>
              <w:rPr>
                <w:rFonts w:ascii="Cambria" w:hAnsi="Cambria"/>
                <w:sz w:val="20"/>
                <w:szCs w:val="20"/>
              </w:rPr>
              <w:t>Steve Spagnuolo</w:t>
            </w:r>
          </w:p>
        </w:tc>
        <w:tc>
          <w:tcPr>
            <w:tcW w:w="1000" w:type="dxa"/>
            <w:vAlign w:val="center"/>
          </w:tcPr>
          <w:p w14:paraId="0C97CFAD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1200" w:type="dxa"/>
            <w:vAlign w:val="center"/>
          </w:tcPr>
          <w:p w14:paraId="3706E5D5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−3.2</w:t>
            </w:r>
          </w:p>
        </w:tc>
        <w:tc>
          <w:tcPr>
            <w:tcW w:w="1900" w:type="dxa"/>
            <w:vAlign w:val="center"/>
          </w:tcPr>
          <w:p w14:paraId="1EABE8E2" w14:textId="77777777" w:rsidR="00F77E71" w:rsidRDefault="00000000">
            <w:pPr>
              <w:keepNext/>
              <w:spacing w:before="20" w:after="20"/>
              <w:jc w:val="center"/>
            </w:pPr>
            <w:r>
              <w:rPr>
                <w:rFonts w:ascii="Cambria" w:hAnsi="Cambria"/>
                <w:sz w:val="20"/>
                <w:szCs w:val="20"/>
              </w:rPr>
              <w:t>[−7.0, +0.7]</w:t>
            </w:r>
          </w:p>
        </w:tc>
      </w:tr>
    </w:tbl>
    <w:p w14:paraId="7E72964D" w14:textId="77777777" w:rsidR="00F77E71" w:rsidRDefault="00000000">
      <w:pPr>
        <w:tabs>
          <w:tab w:val="left" w:pos="2304"/>
        </w:tabs>
        <w:spacing w:before="220" w:after="2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Background effects depend on era (Figure 1). In the 1970s, defensive-background coaches outperformed offensive-background coaches by 0.89 wins per season (</w:t>
      </w:r>
      <w:r>
        <w:rPr>
          <w:rFonts w:ascii="Cambria" w:hAnsi="Cambria"/>
          <w:i/>
          <w:sz w:val="22"/>
          <w:szCs w:val="22"/>
        </w:rPr>
        <w:t>p</w:t>
      </w:r>
      <w:r>
        <w:rPr>
          <w:rFonts w:ascii="Cambria" w:hAnsi="Cambria"/>
          <w:sz w:val="22"/>
          <w:szCs w:val="22"/>
        </w:rPr>
        <w:t xml:space="preserve"> = 0.0001). Offensive coaches’ average WAR </w:t>
      </w:r>
      <w:proofErr w:type="gramStart"/>
      <w:r>
        <w:rPr>
          <w:rFonts w:ascii="Cambria" w:hAnsi="Cambria"/>
          <w:sz w:val="22"/>
          <w:szCs w:val="22"/>
        </w:rPr>
        <w:t>has since</w:t>
      </w:r>
      <w:proofErr w:type="gramEnd"/>
      <w:r>
        <w:rPr>
          <w:rFonts w:ascii="Cambria" w:hAnsi="Cambria"/>
          <w:sz w:val="22"/>
          <w:szCs w:val="22"/>
        </w:rPr>
        <w:t xml:space="preserve"> risen 0.87 wins (</w:t>
      </w:r>
      <w:r>
        <w:rPr>
          <w:rFonts w:ascii="Cambria" w:hAnsi="Cambria"/>
          <w:i/>
          <w:sz w:val="22"/>
          <w:szCs w:val="22"/>
        </w:rPr>
        <w:t>p</w:t>
      </w:r>
      <w:r>
        <w:rPr>
          <w:rFonts w:ascii="Cambria" w:hAnsi="Cambria"/>
          <w:sz w:val="22"/>
          <w:szCs w:val="22"/>
        </w:rPr>
        <w:t xml:space="preserve"> = 0.0009), and in the 2020s they lead by a directional 0.36 wins (95% CI [−0.24, +0.97]).</w:t>
      </w:r>
    </w:p>
    <w:p w14:paraId="0CFD069B" w14:textId="77777777" w:rsidR="00F77E71" w:rsidRDefault="00000000">
      <w:pPr>
        <w:keepNext/>
        <w:tabs>
          <w:tab w:val="left" w:pos="2304"/>
        </w:tabs>
        <w:spacing w:after="220"/>
        <w:jc w:val="center"/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inline distT="0" distB="0" distL="0" distR="0" wp14:anchorId="7C96E38F" wp14:editId="43A4E839">
            <wp:extent cx="3383280" cy="2252828"/>
            <wp:effectExtent l="0" t="0" r="0" b="0"/>
            <wp:docPr id="1001" name="Figure 1" descr="Dot plot of offensive minus defensive head coach WAR by decade from the 1970s to the 2020s with 95 percent confidence interv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Figure 1" descr="Dot plot of offensive minus defensive head coach WAR by decade from the 1970s to the 2020s with 95 percent confidence interval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225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31AE2" w14:textId="77777777" w:rsidR="00F77E71" w:rsidRDefault="00000000">
      <w:pPr>
        <w:tabs>
          <w:tab w:val="left" w:pos="2304"/>
        </w:tabs>
        <w:spacing w:after="220"/>
        <w:jc w:val="center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Figure 1. Offensive minus defensive WAR by decade (Welch 95% CIs; filled points BH-significant).</w:t>
      </w:r>
    </w:p>
    <w:p w14:paraId="465B413E" w14:textId="53795F2A" w:rsidR="00F77E71" w:rsidRDefault="00000000">
      <w:pPr>
        <w:tabs>
          <w:tab w:val="left" w:pos="2304"/>
        </w:tabs>
        <w:spacing w:after="2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lastRenderedPageBreak/>
        <w:t>Single seasons are noisy: Year N WAR explains only 6.5% of Year N+1 variance</w:t>
      </w:r>
      <w:r w:rsidR="00F00E4C">
        <w:rPr>
          <w:rFonts w:ascii="Cambria" w:hAnsi="Cambria"/>
          <w:sz w:val="22"/>
          <w:szCs w:val="22"/>
        </w:rPr>
        <w:t>, indicating that the true coaching signal is small relative to season-to-season luck</w:t>
      </w:r>
      <w:r w:rsidR="00382922">
        <w:rPr>
          <w:rFonts w:ascii="Cambria" w:hAnsi="Cambria"/>
          <w:sz w:val="22"/>
          <w:szCs w:val="22"/>
        </w:rPr>
        <w:t>, or alternatively, that the league adapts quickly to advantages from coaching behavior</w:t>
      </w:r>
      <w:r w:rsidR="00F00E4C">
        <w:rPr>
          <w:rFonts w:ascii="Cambria" w:hAnsi="Cambria"/>
          <w:sz w:val="22"/>
          <w:szCs w:val="22"/>
        </w:rPr>
        <w:t>.</w:t>
      </w:r>
    </w:p>
    <w:p w14:paraId="35E2CC01" w14:textId="77777777" w:rsidR="00F77E71" w:rsidRDefault="00000000">
      <w:pPr>
        <w:pStyle w:val="ListParagraph"/>
        <w:numPr>
          <w:ilvl w:val="0"/>
          <w:numId w:val="1"/>
        </w:numPr>
        <w:tabs>
          <w:tab w:val="left" w:pos="2304"/>
        </w:tabs>
        <w:rPr>
          <w:rFonts w:ascii="Cambria" w:hAnsi="Cambria"/>
          <w:b/>
          <w:sz w:val="32"/>
          <w:szCs w:val="32"/>
        </w:rPr>
      </w:pPr>
      <w:r>
        <w:rPr>
          <w:rFonts w:ascii="Cambria" w:hAnsi="Cambria"/>
          <w:b/>
          <w:sz w:val="32"/>
          <w:szCs w:val="32"/>
        </w:rPr>
        <w:t>Conclusion</w:t>
      </w:r>
    </w:p>
    <w:p w14:paraId="58B90C17" w14:textId="77777777" w:rsidR="00F77E71" w:rsidRDefault="00F77E71">
      <w:pPr>
        <w:tabs>
          <w:tab w:val="left" w:pos="2304"/>
        </w:tabs>
        <w:rPr>
          <w:rFonts w:ascii="Cambria" w:hAnsi="Cambria"/>
        </w:rPr>
      </w:pPr>
    </w:p>
    <w:p w14:paraId="4E11C45E" w14:textId="444CA5ED" w:rsidR="00F77E71" w:rsidRDefault="00000000">
      <w:pPr>
        <w:tabs>
          <w:tab w:val="left" w:pos="2304"/>
        </w:tabs>
        <w:spacing w:after="2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Head coaching decisions carry significant leverage, with roughly 3.8 wins per season separating top and bottom coaches. Coaches are often evaluated on win-loss records, which reflect roster quality, schedule, and season-to-season variance alongside coaching. Averaged across seasons, Coach WAR offers a context-adjusted view of coaching performance and a more rigorous basis for tenure decisions. Isolating coaching from elite quarterback play remains a key limitation. </w:t>
      </w:r>
    </w:p>
    <w:p w14:paraId="1AA72736" w14:textId="77777777" w:rsidR="00F77E71" w:rsidRDefault="00000000">
      <w:pPr>
        <w:pageBreakBefore/>
        <w:tabs>
          <w:tab w:val="left" w:pos="2304"/>
        </w:tabs>
        <w:jc w:val="both"/>
        <w:rPr>
          <w:rFonts w:ascii="Cambria" w:hAnsi="Cambria"/>
          <w:b/>
          <w:sz w:val="32"/>
          <w:szCs w:val="32"/>
        </w:rPr>
      </w:pPr>
      <w:r>
        <w:rPr>
          <w:rFonts w:ascii="Cambria" w:hAnsi="Cambria"/>
          <w:b/>
          <w:sz w:val="32"/>
          <w:szCs w:val="32"/>
        </w:rPr>
        <w:lastRenderedPageBreak/>
        <w:t>References</w:t>
      </w:r>
    </w:p>
    <w:p w14:paraId="19980D06" w14:textId="77777777" w:rsidR="00F77E71" w:rsidRDefault="00F77E71">
      <w:pPr>
        <w:tabs>
          <w:tab w:val="left" w:pos="2304"/>
        </w:tabs>
        <w:rPr>
          <w:rFonts w:ascii="Cambria" w:hAnsi="Cambria"/>
        </w:rPr>
      </w:pPr>
    </w:p>
    <w:p w14:paraId="793860D0" w14:textId="77777777" w:rsidR="00F77E71" w:rsidRDefault="00000000">
      <w:pPr>
        <w:tabs>
          <w:tab w:val="left" w:pos="2304"/>
        </w:tabs>
        <w:ind w:left="360" w:hanging="360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[1] B. S. Baumer, S. T. Jensen, and G. J. Matthews, “</w:t>
      </w:r>
      <w:proofErr w:type="spellStart"/>
      <w:r>
        <w:rPr>
          <w:rFonts w:ascii="Cambria" w:hAnsi="Cambria"/>
          <w:sz w:val="22"/>
          <w:szCs w:val="22"/>
        </w:rPr>
        <w:t>openWAR</w:t>
      </w:r>
      <w:proofErr w:type="spellEnd"/>
      <w:r>
        <w:rPr>
          <w:rFonts w:ascii="Cambria" w:hAnsi="Cambria"/>
          <w:sz w:val="22"/>
          <w:szCs w:val="22"/>
        </w:rPr>
        <w:t xml:space="preserve">: an </w:t>
      </w:r>
      <w:proofErr w:type="gramStart"/>
      <w:r>
        <w:rPr>
          <w:rFonts w:ascii="Cambria" w:hAnsi="Cambria"/>
          <w:sz w:val="22"/>
          <w:szCs w:val="22"/>
        </w:rPr>
        <w:t>open source</w:t>
      </w:r>
      <w:proofErr w:type="gramEnd"/>
      <w:r>
        <w:rPr>
          <w:rFonts w:ascii="Cambria" w:hAnsi="Cambria"/>
          <w:sz w:val="22"/>
          <w:szCs w:val="22"/>
        </w:rPr>
        <w:t xml:space="preserve"> system for evaluating overall player performance in Major League Baseball,” Journal of Quantitative Analysis in Sports, vol. 11, no. 2, pp. 69-84, 2015.</w:t>
      </w:r>
    </w:p>
    <w:p w14:paraId="02E71044" w14:textId="77777777" w:rsidR="00F77E71" w:rsidRDefault="00000000">
      <w:pPr>
        <w:tabs>
          <w:tab w:val="left" w:pos="2304"/>
        </w:tabs>
        <w:ind w:left="360" w:hanging="360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[2] R. Yurko, S. Ventura, and M. Horowitz, “</w:t>
      </w:r>
      <w:proofErr w:type="spellStart"/>
      <w:r>
        <w:rPr>
          <w:rFonts w:ascii="Cambria" w:hAnsi="Cambria"/>
          <w:sz w:val="22"/>
          <w:szCs w:val="22"/>
        </w:rPr>
        <w:t>nflWAR</w:t>
      </w:r>
      <w:proofErr w:type="spellEnd"/>
      <w:r>
        <w:rPr>
          <w:rFonts w:ascii="Cambria" w:hAnsi="Cambria"/>
          <w:sz w:val="22"/>
          <w:szCs w:val="22"/>
        </w:rPr>
        <w:t>: a reproducible method for offensive player evaluation in football,” Journal of Quantitative Analysis in Sports, vol. 15, no. 3, pp. 163-183, 2019.</w:t>
      </w:r>
    </w:p>
    <w:p w14:paraId="7567A830" w14:textId="77777777" w:rsidR="00F77E71" w:rsidRDefault="00000000">
      <w:pPr>
        <w:tabs>
          <w:tab w:val="left" w:pos="2304"/>
        </w:tabs>
        <w:ind w:left="360" w:hanging="360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[3] T. Chen and C. </w:t>
      </w:r>
      <w:proofErr w:type="spellStart"/>
      <w:r>
        <w:rPr>
          <w:rFonts w:ascii="Cambria" w:hAnsi="Cambria"/>
          <w:sz w:val="22"/>
          <w:szCs w:val="22"/>
        </w:rPr>
        <w:t>Guestrin</w:t>
      </w:r>
      <w:proofErr w:type="spellEnd"/>
      <w:r>
        <w:rPr>
          <w:rFonts w:ascii="Cambria" w:hAnsi="Cambria"/>
          <w:sz w:val="22"/>
          <w:szCs w:val="22"/>
        </w:rPr>
        <w:t>, “XGBoost: a scalable tree boosting system,” in KDD ’16: Proceedings of the 22nd ACM SIGKDD International Conference on Knowledge Discovery and Data Mining, pp. 785-794, 2016.</w:t>
      </w:r>
    </w:p>
    <w:p w14:paraId="24AC2F14" w14:textId="77777777" w:rsidR="00F77E71" w:rsidRDefault="00000000">
      <w:pPr>
        <w:tabs>
          <w:tab w:val="left" w:pos="2304"/>
        </w:tabs>
        <w:ind w:left="360" w:hanging="360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[4] Y. Benjamini and Y. Hochberg, “Controlling the false discovery rate: a practical and powerful approach to multiple testing,” Journal of the Royal Statistical Society: Series B, vol. 57, no. 1, pp. 289-300, 1995.</w:t>
      </w:r>
    </w:p>
    <w:sectPr w:rsidR="00F77E71" w:rsidSect="00D81B7A">
      <w:footerReference w:type="even" r:id="rId9"/>
      <w:footerReference w:type="default" r:id="rId10"/>
      <w:pgSz w:w="12240" w:h="15840"/>
      <w:pgMar w:top="1584" w:right="1440" w:bottom="172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363A4" w14:textId="77777777" w:rsidR="00225B1F" w:rsidRDefault="00225B1F" w:rsidP="00790254">
      <w:r>
        <w:separator/>
      </w:r>
    </w:p>
  </w:endnote>
  <w:endnote w:type="continuationSeparator" w:id="0">
    <w:p w14:paraId="66CDDC87" w14:textId="77777777" w:rsidR="00225B1F" w:rsidRDefault="00225B1F" w:rsidP="007902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A8E15" w14:textId="77777777" w:rsidR="0047269F" w:rsidRDefault="00AE7197" w:rsidP="003E71E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47269F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399ACFE" w14:textId="77777777" w:rsidR="0047269F" w:rsidRDefault="004726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A61C3" w14:textId="77777777" w:rsidR="0047269F" w:rsidRPr="0047269F" w:rsidRDefault="00AE7197" w:rsidP="003E71E8">
    <w:pPr>
      <w:pStyle w:val="Footer"/>
      <w:framePr w:wrap="none" w:vAnchor="text" w:hAnchor="margin" w:xAlign="center" w:y="1"/>
      <w:rPr>
        <w:rStyle w:val="PageNumber"/>
      </w:rPr>
    </w:pPr>
    <w:r w:rsidRPr="0047269F">
      <w:rPr>
        <w:rStyle w:val="PageNumber"/>
        <w:rFonts w:ascii="Cambria" w:hAnsi="Cambria"/>
      </w:rPr>
      <w:fldChar w:fldCharType="begin"/>
    </w:r>
    <w:r w:rsidR="0047269F" w:rsidRPr="0047269F">
      <w:rPr>
        <w:rStyle w:val="PageNumber"/>
        <w:rFonts w:ascii="Cambria" w:hAnsi="Cambria"/>
      </w:rPr>
      <w:instrText xml:space="preserve">PAGE  </w:instrText>
    </w:r>
    <w:r w:rsidRPr="0047269F">
      <w:rPr>
        <w:rStyle w:val="PageNumber"/>
        <w:rFonts w:ascii="Cambria" w:hAnsi="Cambria"/>
      </w:rPr>
      <w:fldChar w:fldCharType="separate"/>
    </w:r>
    <w:r w:rsidR="0081303F">
      <w:rPr>
        <w:rStyle w:val="PageNumber"/>
        <w:rFonts w:ascii="Cambria" w:hAnsi="Cambria"/>
        <w:noProof/>
      </w:rPr>
      <w:t>1</w:t>
    </w:r>
    <w:r w:rsidRPr="0047269F">
      <w:rPr>
        <w:rStyle w:val="PageNumber"/>
        <w:rFonts w:ascii="Cambria" w:hAnsi="Cambria"/>
      </w:rPr>
      <w:fldChar w:fldCharType="end"/>
    </w:r>
  </w:p>
  <w:p w14:paraId="7275469C" w14:textId="77777777" w:rsidR="00790254" w:rsidRDefault="00790254" w:rsidP="00790254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FFD5DAD" wp14:editId="75FF9860">
          <wp:simplePos x="0" y="0"/>
          <wp:positionH relativeFrom="column">
            <wp:posOffset>-114935</wp:posOffset>
          </wp:positionH>
          <wp:positionV relativeFrom="paragraph">
            <wp:posOffset>-175895</wp:posOffset>
          </wp:positionV>
          <wp:extent cx="1837690" cy="574040"/>
          <wp:effectExtent l="0" t="0" r="0" b="10160"/>
          <wp:wrapSquare wrapText="bothSides"/>
          <wp:docPr id="3" name="Picture 3" descr="/Users/Ben/Desktop/Screen Shot 2015-10-26 at 11.38.40 A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/Users/Ben/Desktop/Screen Shot 2015-10-26 at 11.38.40 A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7690" cy="574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EABF9" w14:textId="77777777" w:rsidR="00225B1F" w:rsidRDefault="00225B1F" w:rsidP="00790254">
      <w:r>
        <w:separator/>
      </w:r>
    </w:p>
  </w:footnote>
  <w:footnote w:type="continuationSeparator" w:id="0">
    <w:p w14:paraId="10C0A3BB" w14:textId="77777777" w:rsidR="00225B1F" w:rsidRDefault="00225B1F" w:rsidP="007902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4587C"/>
    <w:multiLevelType w:val="hybridMultilevel"/>
    <w:tmpl w:val="526AFE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5424C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F46487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B195EB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CAC5E3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37689831">
    <w:abstractNumId w:val="2"/>
  </w:num>
  <w:num w:numId="2" w16cid:durableId="109707643">
    <w:abstractNumId w:val="0"/>
  </w:num>
  <w:num w:numId="3" w16cid:durableId="685056186">
    <w:abstractNumId w:val="3"/>
  </w:num>
  <w:num w:numId="4" w16cid:durableId="158278801">
    <w:abstractNumId w:val="1"/>
  </w:num>
  <w:num w:numId="5" w16cid:durableId="5239827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BAIzIyMjEzMLC0sLYyUdpeDU4uLM/DyQAsNaAI/W1DYsAAAA"/>
  </w:docVars>
  <w:rsids>
    <w:rsidRoot w:val="00790254"/>
    <w:rsid w:val="00002F10"/>
    <w:rsid w:val="0000732E"/>
    <w:rsid w:val="0001400C"/>
    <w:rsid w:val="000200A0"/>
    <w:rsid w:val="0004005A"/>
    <w:rsid w:val="0006632E"/>
    <w:rsid w:val="000A2E8C"/>
    <w:rsid w:val="001120D0"/>
    <w:rsid w:val="00180AD3"/>
    <w:rsid w:val="001A4C51"/>
    <w:rsid w:val="001F3CD4"/>
    <w:rsid w:val="002178F5"/>
    <w:rsid w:val="00225B1F"/>
    <w:rsid w:val="002349A6"/>
    <w:rsid w:val="00266216"/>
    <w:rsid w:val="002963A4"/>
    <w:rsid w:val="003115DF"/>
    <w:rsid w:val="00355593"/>
    <w:rsid w:val="003601DD"/>
    <w:rsid w:val="00382922"/>
    <w:rsid w:val="00391E01"/>
    <w:rsid w:val="003A68D6"/>
    <w:rsid w:val="00403891"/>
    <w:rsid w:val="004057E8"/>
    <w:rsid w:val="00471AAF"/>
    <w:rsid w:val="0047269F"/>
    <w:rsid w:val="00505E83"/>
    <w:rsid w:val="00571219"/>
    <w:rsid w:val="00587201"/>
    <w:rsid w:val="005A6710"/>
    <w:rsid w:val="005E1792"/>
    <w:rsid w:val="005F33EF"/>
    <w:rsid w:val="006B49AF"/>
    <w:rsid w:val="006D0E62"/>
    <w:rsid w:val="006D7F1F"/>
    <w:rsid w:val="007237EB"/>
    <w:rsid w:val="0074093A"/>
    <w:rsid w:val="00790254"/>
    <w:rsid w:val="007D4180"/>
    <w:rsid w:val="007D4C9E"/>
    <w:rsid w:val="007E248D"/>
    <w:rsid w:val="0081303F"/>
    <w:rsid w:val="0085766A"/>
    <w:rsid w:val="008A2827"/>
    <w:rsid w:val="008B54B3"/>
    <w:rsid w:val="0092008B"/>
    <w:rsid w:val="009751B8"/>
    <w:rsid w:val="0098755D"/>
    <w:rsid w:val="009B061A"/>
    <w:rsid w:val="009D255F"/>
    <w:rsid w:val="00A16AEF"/>
    <w:rsid w:val="00A373BF"/>
    <w:rsid w:val="00A76AD9"/>
    <w:rsid w:val="00A81349"/>
    <w:rsid w:val="00A86F1D"/>
    <w:rsid w:val="00AE7197"/>
    <w:rsid w:val="00B52720"/>
    <w:rsid w:val="00B83047"/>
    <w:rsid w:val="00C24A82"/>
    <w:rsid w:val="00C30B09"/>
    <w:rsid w:val="00C83CFD"/>
    <w:rsid w:val="00CB0068"/>
    <w:rsid w:val="00CF1BA1"/>
    <w:rsid w:val="00D033C9"/>
    <w:rsid w:val="00D03C0A"/>
    <w:rsid w:val="00D5557F"/>
    <w:rsid w:val="00D81B7A"/>
    <w:rsid w:val="00DB439D"/>
    <w:rsid w:val="00DF4F5A"/>
    <w:rsid w:val="00E77F95"/>
    <w:rsid w:val="00E93F31"/>
    <w:rsid w:val="00ED2DAC"/>
    <w:rsid w:val="00EF42DB"/>
    <w:rsid w:val="00F00E4C"/>
    <w:rsid w:val="00F66121"/>
    <w:rsid w:val="00F77E71"/>
    <w:rsid w:val="00F97FBB"/>
    <w:rsid w:val="00FA00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4014CB"/>
  <w15:docId w15:val="{A30518F4-A4F0-4157-8051-AAAEBD9E9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1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02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254"/>
  </w:style>
  <w:style w:type="paragraph" w:styleId="Footer">
    <w:name w:val="footer"/>
    <w:basedOn w:val="Normal"/>
    <w:link w:val="FooterChar"/>
    <w:uiPriority w:val="99"/>
    <w:unhideWhenUsed/>
    <w:rsid w:val="007902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0254"/>
  </w:style>
  <w:style w:type="paragraph" w:styleId="ListParagraph">
    <w:name w:val="List Paragraph"/>
    <w:basedOn w:val="Normal"/>
    <w:uiPriority w:val="34"/>
    <w:qFormat/>
    <w:rsid w:val="00D81B7A"/>
    <w:pPr>
      <w:ind w:left="720"/>
      <w:contextualSpacing/>
    </w:pPr>
  </w:style>
  <w:style w:type="table" w:styleId="TableGrid">
    <w:name w:val="Table Grid"/>
    <w:basedOn w:val="TableNormal"/>
    <w:uiPriority w:val="39"/>
    <w:rsid w:val="00CB00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B0068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47269F"/>
    <w:rPr>
      <w:color w:val="0563C1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47269F"/>
  </w:style>
  <w:style w:type="paragraph" w:styleId="FootnoteText">
    <w:name w:val="footnote text"/>
    <w:basedOn w:val="Normal"/>
    <w:link w:val="FootnoteTextChar"/>
    <w:uiPriority w:val="99"/>
    <w:unhideWhenUsed/>
    <w:rsid w:val="00D033C9"/>
  </w:style>
  <w:style w:type="character" w:customStyle="1" w:styleId="FootnoteTextChar">
    <w:name w:val="Footnote Text Char"/>
    <w:basedOn w:val="DefaultParagraphFont"/>
    <w:link w:val="FootnoteText"/>
    <w:uiPriority w:val="99"/>
    <w:rsid w:val="00D033C9"/>
  </w:style>
  <w:style w:type="character" w:styleId="FootnoteReference">
    <w:name w:val="footnote reference"/>
    <w:basedOn w:val="DefaultParagraphFont"/>
    <w:uiPriority w:val="99"/>
    <w:unhideWhenUsed/>
    <w:rsid w:val="00D033C9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D033C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mbria">
      <a:maj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7D04F5-7300-490D-B7AF-EBF8F381F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4</Pages>
  <Words>770</Words>
  <Characters>4112</Characters>
  <Application>Microsoft Office Word</Application>
  <DocSecurity>0</DocSecurity>
  <Lines>152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Coach WAR: A Counterfactual Approach to Evaluating NFL Head Coach Impact in the Modern Era</dc:title>
  <dc:subject/>
  <dc:creator>Benjamin Bohr</dc:creator>
  <cp:keywords/>
  <dc:description/>
  <cp:lastModifiedBy>Jon Williamson</cp:lastModifiedBy>
  <cp:revision>20</cp:revision>
  <dcterms:created xsi:type="dcterms:W3CDTF">2025-06-29T19:02:00Z</dcterms:created>
  <dcterms:modified xsi:type="dcterms:W3CDTF">2026-10-06T23:15:00Z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78b4091f-6336-40d7-8e16-e3a831b8c075</vt:lpwstr>
  </property>
</Properties>
</file>