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EAF" w:rsidRPr="00C13EAF" w:rsidRDefault="00C13EAF" w:rsidP="00C13EAF">
      <w:pPr>
        <w:spacing w:after="240" w:line="360" w:lineRule="atLeast"/>
        <w:jc w:val="both"/>
        <w:textAlignment w:val="baseline"/>
        <w:outlineLvl w:val="2"/>
        <w:rPr>
          <w:rFonts w:ascii="Avenir Next" w:eastAsia="Times New Roman" w:hAnsi="Avenir Next" w:cs="Arial"/>
          <w:b/>
          <w:bCs/>
          <w:caps/>
          <w:sz w:val="32"/>
          <w:szCs w:val="32"/>
          <w:lang w:val="en-US"/>
        </w:rPr>
      </w:pPr>
      <w:r w:rsidRPr="00C13EAF">
        <w:rPr>
          <w:rFonts w:ascii="Avenir Next" w:eastAsia="Times New Roman" w:hAnsi="Avenir Next" w:cs="Arial"/>
          <w:b/>
          <w:bCs/>
          <w:caps/>
          <w:sz w:val="32"/>
          <w:szCs w:val="32"/>
          <w:lang w:val="en-US"/>
        </w:rPr>
        <w:br/>
      </w:r>
      <w:r>
        <w:rPr>
          <w:rFonts w:ascii="Avenir Next" w:eastAsia="Times New Roman" w:hAnsi="Avenir Next" w:cs="Arial"/>
          <w:b/>
          <w:bCs/>
          <w:caps/>
          <w:sz w:val="32"/>
          <w:szCs w:val="32"/>
          <w:lang w:val="en-US"/>
        </w:rPr>
        <w:t>Guillermo Moyna Borthagaray</w:t>
      </w:r>
    </w:p>
    <w:p w:rsidR="00C13EAF" w:rsidRPr="00C13EAF" w:rsidRDefault="00C13EAF" w:rsidP="00C13EAF">
      <w:pPr>
        <w:spacing w:after="240" w:line="360" w:lineRule="atLeast"/>
        <w:jc w:val="both"/>
        <w:textAlignment w:val="baseline"/>
        <w:outlineLvl w:val="3"/>
        <w:rPr>
          <w:rFonts w:ascii="Avenir Next" w:eastAsia="Times New Roman" w:hAnsi="Avenir Next" w:cs="Arial"/>
          <w:b/>
          <w:bCs/>
          <w:caps/>
          <w:sz w:val="26"/>
          <w:szCs w:val="26"/>
          <w:lang w:val="en-US"/>
        </w:rPr>
      </w:pPr>
      <w:r w:rsidRPr="00C13EAF">
        <w:rPr>
          <w:rFonts w:ascii="Avenir Next" w:eastAsia="Times New Roman" w:hAnsi="Avenir Next" w:cs="Arial"/>
          <w:b/>
          <w:bCs/>
          <w:caps/>
          <w:sz w:val="26"/>
          <w:szCs w:val="26"/>
          <w:lang w:val="en-US"/>
        </w:rPr>
        <w:t>THE RESEARCH</w:t>
      </w:r>
    </w:p>
    <w:p w:rsidR="00C13EAF" w:rsidRDefault="00C13EAF" w:rsidP="00C13EAF">
      <w:pPr>
        <w:jc w:val="both"/>
        <w:rPr>
          <w:rFonts w:ascii="Avenir Next" w:eastAsia="Times New Roman" w:hAnsi="Avenir Next"/>
          <w:lang w:val="en-US"/>
        </w:rPr>
      </w:pPr>
      <w:r w:rsidRPr="00C13EAF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 xml:space="preserve">Dr. </w:t>
      </w:r>
      <w:r w:rsidR="006C175F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>Guillermo Moyna Borthagaray</w:t>
      </w:r>
      <w:r w:rsidRPr="00C13EAF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 xml:space="preserve"> is a professor at </w:t>
      </w:r>
      <w:r w:rsidR="00D506FD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 xml:space="preserve">the Centro </w:t>
      </w:r>
      <w:proofErr w:type="spellStart"/>
      <w:r w:rsidR="00D506FD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>Universitario</w:t>
      </w:r>
      <w:proofErr w:type="spellEnd"/>
      <w:r w:rsidR="00D506FD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 xml:space="preserve"> Regional (CENUR) Litoral Norte, Universidad de la </w:t>
      </w:r>
      <w:proofErr w:type="spellStart"/>
      <w:r w:rsidR="00D506FD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>República</w:t>
      </w:r>
      <w:proofErr w:type="spellEnd"/>
      <w:r w:rsidR="00D506FD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 xml:space="preserve"> (</w:t>
      </w:r>
      <w:proofErr w:type="spellStart"/>
      <w:r w:rsidR="00D506FD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>UdelaR</w:t>
      </w:r>
      <w:proofErr w:type="spellEnd"/>
      <w:r w:rsidR="00D506FD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>), in Paysandú, Uruguay. He obtained his Ph.D. in Organic Chemistry form Texas A&amp;M Unive</w:t>
      </w:r>
      <w:r w:rsidR="000A1767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>r</w:t>
      </w:r>
      <w:r w:rsidR="00D506FD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>si</w:t>
      </w:r>
      <w:r w:rsidR="000A1767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>t</w:t>
      </w:r>
      <w:r w:rsidR="00D506FD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>y</w:t>
      </w:r>
      <w:r w:rsidR="00874910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 xml:space="preserve"> </w:t>
      </w:r>
      <w:r w:rsidR="00B07FBE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>under the direction of Prof. A. I. Scott (F.R.S.)</w:t>
      </w:r>
      <w:r w:rsidR="00B07FBE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 xml:space="preserve"> </w:t>
      </w:r>
      <w:r w:rsidR="00874910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>in 1998</w:t>
      </w:r>
      <w:r w:rsidR="00801B95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>. His graduate work dealt with</w:t>
      </w:r>
      <w:r w:rsidR="00AB592C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 xml:space="preserve"> </w:t>
      </w:r>
      <w:r w:rsidR="00874910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>the conformational analysis of biologically-active compounds</w:t>
      </w:r>
      <w:r w:rsidR="00B07FBE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 xml:space="preserve"> using a combination of synthesis, NMR spectroscopy, and computational chemistry</w:t>
      </w:r>
      <w:r w:rsidR="00874910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 xml:space="preserve">. Following a short postdoctoral stay in the group </w:t>
      </w:r>
      <w:r w:rsidR="00464009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>o</w:t>
      </w:r>
      <w:r w:rsidR="00874910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 xml:space="preserve">f Prof. Randy </w:t>
      </w:r>
      <w:proofErr w:type="spellStart"/>
      <w:r w:rsidR="00874910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>Zauhar</w:t>
      </w:r>
      <w:proofErr w:type="spellEnd"/>
      <w:r w:rsidR="00874910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 xml:space="preserve"> at the University of the Sciences in Philadelphia (</w:t>
      </w:r>
      <w:proofErr w:type="spellStart"/>
      <w:r w:rsidR="00874910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>USciences</w:t>
      </w:r>
      <w:proofErr w:type="spellEnd"/>
      <w:r w:rsidR="00874910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 xml:space="preserve">), he joined the faculty of the same institution. During his tenure at </w:t>
      </w:r>
      <w:proofErr w:type="spellStart"/>
      <w:r w:rsidR="00874910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>USciences</w:t>
      </w:r>
      <w:proofErr w:type="spellEnd"/>
      <w:r w:rsidR="00874910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 xml:space="preserve">, </w:t>
      </w:r>
      <w:r w:rsidR="00B07FBE" w:rsidRPr="00801B95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>Guillermo</w:t>
      </w:r>
      <w:r w:rsidR="00874910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 xml:space="preserve"> </w:t>
      </w:r>
      <w:r w:rsidR="00B07FBE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 xml:space="preserve">pursued several </w:t>
      </w:r>
      <w:r w:rsidR="00801B95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>research</w:t>
      </w:r>
      <w:r w:rsidR="00B07FBE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 xml:space="preserve"> endeavors </w:t>
      </w:r>
      <w:r w:rsidR="00801B95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>in areas</w:t>
      </w:r>
      <w:r w:rsidR="00B07FBE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 xml:space="preserve"> that ranged from synthetic and medicinal chemistry to NMR spectroscopy and material science</w:t>
      </w:r>
      <w:r w:rsidR="00801B95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 xml:space="preserve">. He also directed the institutional NMR </w:t>
      </w:r>
      <w:r w:rsidR="001354EB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>f</w:t>
      </w:r>
      <w:r w:rsidR="00801B95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 xml:space="preserve">acility, and helped establish the West Center for Computer Aided Drug Design and Discovery </w:t>
      </w:r>
      <w:r w:rsidR="001354EB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>(WC</w:t>
      </w:r>
      <w:r w:rsidR="001354EB" w:rsidRPr="001354EB">
        <w:rPr>
          <w:rFonts w:ascii="Avenir Next" w:eastAsia="Times New Roman" w:hAnsi="Avenir Next" w:cs="Arial"/>
          <w:sz w:val="22"/>
          <w:szCs w:val="22"/>
          <w:shd w:val="clear" w:color="auto" w:fill="FFFFFF"/>
          <w:vertAlign w:val="subscript"/>
          <w:lang w:val="en-US"/>
        </w:rPr>
        <w:t>2</w:t>
      </w:r>
      <w:r w:rsidR="001354EB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>D</w:t>
      </w:r>
      <w:r w:rsidR="001354EB" w:rsidRPr="001354EB">
        <w:rPr>
          <w:rFonts w:ascii="Avenir Next" w:eastAsia="Times New Roman" w:hAnsi="Avenir Next" w:cs="Arial"/>
          <w:sz w:val="22"/>
          <w:szCs w:val="22"/>
          <w:shd w:val="clear" w:color="auto" w:fill="FFFFFF"/>
          <w:vertAlign w:val="subscript"/>
          <w:lang w:val="en-US"/>
        </w:rPr>
        <w:t>3</w:t>
      </w:r>
      <w:r w:rsidR="001354EB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>)</w:t>
      </w:r>
      <w:r w:rsidR="00874910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 xml:space="preserve">. </w:t>
      </w:r>
      <w:r w:rsidR="00EB7728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>As part of a university-wide decentralization project</w:t>
      </w:r>
      <w:r w:rsidR="007F5B42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 xml:space="preserve"> of the </w:t>
      </w:r>
      <w:proofErr w:type="spellStart"/>
      <w:r w:rsidR="007F5B42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>UdelaR</w:t>
      </w:r>
      <w:proofErr w:type="spellEnd"/>
      <w:r w:rsidR="00EB7728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 xml:space="preserve">, he returned to Uruguay </w:t>
      </w:r>
      <w:r w:rsidR="007F5B42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 xml:space="preserve">in 2011 </w:t>
      </w:r>
      <w:r w:rsidR="00EB7728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>to head the Departamento de Química del Litoral (DQL) of the CENUR Litoral Norte</w:t>
      </w:r>
      <w:r w:rsidR="007F5B42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>.</w:t>
      </w:r>
      <w:r w:rsidR="00B07FBE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 xml:space="preserve"> In addition to the research activities developed while at </w:t>
      </w:r>
      <w:proofErr w:type="spellStart"/>
      <w:r w:rsidR="00B07FBE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>USciences</w:t>
      </w:r>
      <w:proofErr w:type="spellEnd"/>
      <w:r w:rsidR="00B07FBE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 xml:space="preserve">, </w:t>
      </w:r>
      <w:r w:rsidR="00413EB1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 xml:space="preserve">his group began </w:t>
      </w:r>
      <w:r w:rsidR="00801B95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 xml:space="preserve">to work on the application of NMR-based metabolomic analysis to a variety of problems of the health and </w:t>
      </w:r>
      <w:proofErr w:type="spellStart"/>
      <w:r w:rsidR="00801B95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>agroindustrial</w:t>
      </w:r>
      <w:proofErr w:type="spellEnd"/>
      <w:r w:rsidR="00801B95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 xml:space="preserve"> sectors. These include the development of chemometric tools for the diagnosis of kidney disease, the monitoring of health markers in dairy cattle and other production animals, and the selection of pest-resistant cultivar varieties of barley and other crops. Throughout his career in Uruguay and abroad, Guillermo has participated in more than </w:t>
      </w:r>
      <w:r w:rsidR="001354EB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>20</w:t>
      </w:r>
      <w:r w:rsidR="00801B95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 xml:space="preserve"> funded research projects, mentored </w:t>
      </w:r>
      <w:r w:rsidR="001354EB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>two postdoctoral, 13</w:t>
      </w:r>
      <w:r w:rsidR="00801B95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 xml:space="preserve"> graduate</w:t>
      </w:r>
      <w:r w:rsidR="001354EB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>,</w:t>
      </w:r>
      <w:r w:rsidR="00801B95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 xml:space="preserve"> and </w:t>
      </w:r>
      <w:r w:rsidR="001354EB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>28</w:t>
      </w:r>
      <w:r w:rsidR="00801B95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 xml:space="preserve"> undergraduate students, and authored </w:t>
      </w:r>
      <w:r w:rsidR="001354EB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>76</w:t>
      </w:r>
      <w:r w:rsidR="00801B95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 xml:space="preserve"> peer-reviewed publications and 7 book chapters</w:t>
      </w:r>
      <w:r w:rsidRPr="00C13EAF">
        <w:rPr>
          <w:rFonts w:ascii="Avenir Next" w:eastAsia="Times New Roman" w:hAnsi="Avenir Next" w:cs="Arial"/>
          <w:sz w:val="22"/>
          <w:szCs w:val="22"/>
          <w:shd w:val="clear" w:color="auto" w:fill="FFFFFF"/>
          <w:lang w:val="en-US"/>
        </w:rPr>
        <w:t>. </w:t>
      </w:r>
      <w:hyperlink r:id="rId5" w:history="1">
        <w:r w:rsidRPr="00C13EAF">
          <w:rPr>
            <w:rFonts w:ascii="Avenir Next" w:eastAsia="Times New Roman" w:hAnsi="Avenir Next" w:cs="Arial"/>
            <w:sz w:val="22"/>
            <w:szCs w:val="22"/>
            <w:u w:val="single"/>
            <w:bdr w:val="none" w:sz="0" w:space="0" w:color="auto" w:frame="1"/>
            <w:lang w:val="en-US"/>
          </w:rPr>
          <w:t>More i</w:t>
        </w:r>
        <w:r w:rsidRPr="00C13EAF">
          <w:rPr>
            <w:rFonts w:ascii="Avenir Next" w:eastAsia="Times New Roman" w:hAnsi="Avenir Next" w:cs="Arial"/>
            <w:sz w:val="22"/>
            <w:szCs w:val="22"/>
            <w:u w:val="single"/>
            <w:bdr w:val="none" w:sz="0" w:space="0" w:color="auto" w:frame="1"/>
            <w:lang w:val="en-US"/>
          </w:rPr>
          <w:t>n</w:t>
        </w:r>
        <w:r w:rsidRPr="00C13EAF">
          <w:rPr>
            <w:rFonts w:ascii="Avenir Next" w:eastAsia="Times New Roman" w:hAnsi="Avenir Next" w:cs="Arial"/>
            <w:sz w:val="22"/>
            <w:szCs w:val="22"/>
            <w:u w:val="single"/>
            <w:bdr w:val="none" w:sz="0" w:space="0" w:color="auto" w:frame="1"/>
            <w:lang w:val="en-US"/>
          </w:rPr>
          <w:t>fo</w:t>
        </w:r>
        <w:r w:rsidRPr="00C13EAF">
          <w:rPr>
            <w:rFonts w:ascii="Avenir Next" w:eastAsia="Times New Roman" w:hAnsi="Avenir Next" w:cs="Arial"/>
            <w:sz w:val="22"/>
            <w:szCs w:val="22"/>
            <w:u w:val="single"/>
            <w:bdr w:val="none" w:sz="0" w:space="0" w:color="auto" w:frame="1"/>
            <w:lang w:val="en-US"/>
          </w:rPr>
          <w:t>r</w:t>
        </w:r>
        <w:r w:rsidRPr="00C13EAF">
          <w:rPr>
            <w:rFonts w:ascii="Avenir Next" w:eastAsia="Times New Roman" w:hAnsi="Avenir Next" w:cs="Arial"/>
            <w:sz w:val="22"/>
            <w:szCs w:val="22"/>
            <w:u w:val="single"/>
            <w:bdr w:val="none" w:sz="0" w:space="0" w:color="auto" w:frame="1"/>
            <w:lang w:val="en-US"/>
          </w:rPr>
          <w:t>mation.</w:t>
        </w:r>
      </w:hyperlink>
    </w:p>
    <w:p w:rsidR="00143828" w:rsidRPr="00143828" w:rsidRDefault="00143828" w:rsidP="00C13EAF">
      <w:pPr>
        <w:jc w:val="both"/>
        <w:rPr>
          <w:rFonts w:ascii="Avenir Next" w:eastAsia="Times New Roman" w:hAnsi="Avenir Next" w:cs="Arial"/>
          <w:b/>
          <w:sz w:val="22"/>
          <w:szCs w:val="22"/>
          <w:shd w:val="clear" w:color="auto" w:fill="FFFFFF"/>
          <w:lang w:val="en-US"/>
        </w:rPr>
      </w:pPr>
    </w:p>
    <w:p w:rsidR="00143828" w:rsidRPr="00C13EAF" w:rsidRDefault="00143828" w:rsidP="00C13EAF">
      <w:pPr>
        <w:jc w:val="both"/>
        <w:rPr>
          <w:rFonts w:ascii="Avenir Next" w:eastAsia="Times New Roman" w:hAnsi="Avenir Next" w:cs="Arial"/>
          <w:b/>
          <w:sz w:val="26"/>
          <w:szCs w:val="26"/>
          <w:shd w:val="clear" w:color="auto" w:fill="FFFFFF"/>
          <w:lang w:val="en-US"/>
        </w:rPr>
      </w:pPr>
      <w:r w:rsidRPr="00143828">
        <w:rPr>
          <w:rFonts w:ascii="Avenir Next" w:eastAsia="Times New Roman" w:hAnsi="Avenir Next" w:cs="Arial"/>
          <w:b/>
          <w:sz w:val="26"/>
          <w:szCs w:val="26"/>
          <w:shd w:val="clear" w:color="auto" w:fill="FFFFFF"/>
          <w:lang w:val="en-US"/>
        </w:rPr>
        <w:t>THE LAB</w:t>
      </w:r>
    </w:p>
    <w:p w:rsidR="00143828" w:rsidRDefault="00143828" w:rsidP="00143828">
      <w:pPr>
        <w:jc w:val="both"/>
        <w:rPr>
          <w:rFonts w:ascii="Avenir Next" w:hAnsi="Avenir Next"/>
        </w:rPr>
      </w:pPr>
    </w:p>
    <w:p w:rsidR="00143828" w:rsidRDefault="00143828" w:rsidP="00143828">
      <w:pPr>
        <w:pStyle w:val="ListParagraph"/>
        <w:numPr>
          <w:ilvl w:val="0"/>
          <w:numId w:val="1"/>
        </w:numPr>
        <w:jc w:val="both"/>
        <w:rPr>
          <w:rFonts w:ascii="Avenir Next" w:hAnsi="Avenir Next"/>
        </w:rPr>
      </w:pPr>
      <w:proofErr w:type="spellStart"/>
      <w:r>
        <w:rPr>
          <w:rFonts w:ascii="Avenir Next" w:hAnsi="Avenir Next"/>
        </w:rPr>
        <w:t>Three-channel</w:t>
      </w:r>
      <w:proofErr w:type="spellEnd"/>
      <w:r>
        <w:rPr>
          <w:rFonts w:ascii="Avenir Next" w:hAnsi="Avenir Next"/>
        </w:rPr>
        <w:t xml:space="preserve"> </w:t>
      </w:r>
      <w:proofErr w:type="spellStart"/>
      <w:r>
        <w:rPr>
          <w:rFonts w:ascii="Avenir Next" w:hAnsi="Avenir Next"/>
        </w:rPr>
        <w:t>Bruker</w:t>
      </w:r>
      <w:proofErr w:type="spellEnd"/>
      <w:r>
        <w:rPr>
          <w:rFonts w:ascii="Avenir Next" w:hAnsi="Avenir Next"/>
        </w:rPr>
        <w:t xml:space="preserve"> </w:t>
      </w:r>
      <w:r w:rsidRPr="00143828">
        <w:rPr>
          <w:rFonts w:ascii="Avenir Next" w:hAnsi="Avenir Next"/>
        </w:rPr>
        <w:t xml:space="preserve">AVANCE III </w:t>
      </w:r>
      <w:r>
        <w:rPr>
          <w:rFonts w:ascii="Avenir Next" w:hAnsi="Avenir Next"/>
        </w:rPr>
        <w:t xml:space="preserve">500 </w:t>
      </w:r>
      <w:proofErr w:type="spellStart"/>
      <w:r w:rsidRPr="00143828">
        <w:rPr>
          <w:rFonts w:ascii="Avenir Next" w:hAnsi="Avenir Next"/>
        </w:rPr>
        <w:t>with</w:t>
      </w:r>
      <w:proofErr w:type="spellEnd"/>
      <w:r w:rsidRPr="00143828">
        <w:rPr>
          <w:rFonts w:ascii="Avenir Next" w:hAnsi="Avenir Next"/>
        </w:rPr>
        <w:t xml:space="preserve"> </w:t>
      </w:r>
      <w:r w:rsidRPr="00143828">
        <w:rPr>
          <w:rFonts w:ascii="Avenir Next" w:hAnsi="Avenir Next"/>
          <w:vertAlign w:val="superscript"/>
        </w:rPr>
        <w:t>1</w:t>
      </w:r>
      <w:r w:rsidRPr="00143828">
        <w:rPr>
          <w:rFonts w:ascii="Avenir Next" w:hAnsi="Avenir Next"/>
        </w:rPr>
        <w:t>H/</w:t>
      </w:r>
      <w:r w:rsidRPr="00143828">
        <w:rPr>
          <w:rFonts w:ascii="Avenir Next" w:hAnsi="Avenir Next"/>
          <w:vertAlign w:val="superscript"/>
        </w:rPr>
        <w:t>13</w:t>
      </w:r>
      <w:r w:rsidRPr="00143828">
        <w:rPr>
          <w:rFonts w:ascii="Avenir Next" w:hAnsi="Avenir Next"/>
        </w:rPr>
        <w:t>C/</w:t>
      </w:r>
      <w:r w:rsidRPr="00143828">
        <w:rPr>
          <w:rFonts w:ascii="Avenir Next" w:hAnsi="Avenir Next"/>
          <w:vertAlign w:val="superscript"/>
        </w:rPr>
        <w:t>15</w:t>
      </w:r>
      <w:r w:rsidRPr="00143828">
        <w:rPr>
          <w:rFonts w:ascii="Avenir Next" w:hAnsi="Avenir Next"/>
        </w:rPr>
        <w:t xml:space="preserve">N and </w:t>
      </w:r>
      <w:r w:rsidRPr="00143828">
        <w:rPr>
          <w:rFonts w:ascii="Avenir Next" w:hAnsi="Avenir Next"/>
          <w:vertAlign w:val="superscript"/>
        </w:rPr>
        <w:t>1</w:t>
      </w:r>
      <w:r w:rsidRPr="00143828">
        <w:rPr>
          <w:rFonts w:ascii="Avenir Next" w:hAnsi="Avenir Next"/>
        </w:rPr>
        <w:t>H/</w:t>
      </w:r>
      <w:r w:rsidRPr="00143828">
        <w:rPr>
          <w:rFonts w:ascii="Avenir Next" w:hAnsi="Avenir Next"/>
          <w:vertAlign w:val="superscript"/>
        </w:rPr>
        <w:t>13</w:t>
      </w:r>
      <w:r w:rsidRPr="00143828">
        <w:rPr>
          <w:rFonts w:ascii="Avenir Next" w:hAnsi="Avenir Next"/>
        </w:rPr>
        <w:t>C/</w:t>
      </w:r>
      <w:r w:rsidRPr="00143828">
        <w:rPr>
          <w:rFonts w:ascii="Avenir Next" w:hAnsi="Avenir Next"/>
          <w:vertAlign w:val="superscript"/>
        </w:rPr>
        <w:t>31</w:t>
      </w:r>
      <w:r w:rsidRPr="00143828">
        <w:rPr>
          <w:rFonts w:ascii="Avenir Next" w:hAnsi="Avenir Next"/>
        </w:rPr>
        <w:t xml:space="preserve">P TXI </w:t>
      </w:r>
      <w:proofErr w:type="spellStart"/>
      <w:r w:rsidRPr="00143828">
        <w:rPr>
          <w:rFonts w:ascii="Avenir Next" w:hAnsi="Avenir Next"/>
        </w:rPr>
        <w:t>probes</w:t>
      </w:r>
      <w:proofErr w:type="spellEnd"/>
      <w:r w:rsidRPr="00143828">
        <w:rPr>
          <w:rFonts w:ascii="Avenir Next" w:hAnsi="Avenir Next"/>
        </w:rPr>
        <w:t>.</w:t>
      </w:r>
    </w:p>
    <w:p w:rsidR="00143828" w:rsidRPr="00143828" w:rsidRDefault="00143828" w:rsidP="00143828">
      <w:pPr>
        <w:jc w:val="both"/>
        <w:rPr>
          <w:rFonts w:ascii="Avenir Next" w:hAnsi="Avenir Next"/>
        </w:rPr>
      </w:pPr>
    </w:p>
    <w:p w:rsidR="00143828" w:rsidRPr="00143828" w:rsidRDefault="00143828" w:rsidP="00143828">
      <w:pPr>
        <w:pStyle w:val="ListParagraph"/>
        <w:numPr>
          <w:ilvl w:val="0"/>
          <w:numId w:val="1"/>
        </w:numPr>
        <w:jc w:val="both"/>
        <w:rPr>
          <w:rFonts w:ascii="Avenir Next" w:hAnsi="Avenir Next"/>
        </w:rPr>
      </w:pPr>
      <w:proofErr w:type="spellStart"/>
      <w:r>
        <w:rPr>
          <w:rFonts w:ascii="Avenir Next" w:hAnsi="Avenir Next"/>
        </w:rPr>
        <w:t>Two-channel</w:t>
      </w:r>
      <w:proofErr w:type="spellEnd"/>
      <w:r>
        <w:rPr>
          <w:rFonts w:ascii="Avenir Next" w:hAnsi="Avenir Next"/>
        </w:rPr>
        <w:t xml:space="preserve"> </w:t>
      </w:r>
      <w:proofErr w:type="spellStart"/>
      <w:r>
        <w:rPr>
          <w:rFonts w:ascii="Avenir Next" w:hAnsi="Avenir Next"/>
        </w:rPr>
        <w:t>Bruker</w:t>
      </w:r>
      <w:proofErr w:type="spellEnd"/>
      <w:r w:rsidRPr="00143828">
        <w:rPr>
          <w:rFonts w:ascii="Avenir Next" w:hAnsi="Avenir Next"/>
        </w:rPr>
        <w:t xml:space="preserve"> AVANCE III </w:t>
      </w:r>
      <w:r>
        <w:rPr>
          <w:rFonts w:ascii="Avenir Next" w:hAnsi="Avenir Next"/>
        </w:rPr>
        <w:t xml:space="preserve">400 </w:t>
      </w:r>
      <w:proofErr w:type="spellStart"/>
      <w:r w:rsidRPr="00143828">
        <w:rPr>
          <w:rFonts w:ascii="Avenir Next" w:hAnsi="Avenir Next"/>
        </w:rPr>
        <w:t>with</w:t>
      </w:r>
      <w:proofErr w:type="spellEnd"/>
      <w:r w:rsidRPr="00143828">
        <w:rPr>
          <w:rFonts w:ascii="Avenir Next" w:hAnsi="Avenir Next"/>
        </w:rPr>
        <w:t xml:space="preserve"> BBOF and </w:t>
      </w:r>
      <w:r w:rsidRPr="00143828">
        <w:rPr>
          <w:rFonts w:ascii="Avenir Next" w:hAnsi="Avenir Next"/>
          <w:vertAlign w:val="superscript"/>
        </w:rPr>
        <w:t>1</w:t>
      </w:r>
      <w:r w:rsidRPr="00143828">
        <w:rPr>
          <w:rFonts w:ascii="Avenir Next" w:hAnsi="Avenir Next"/>
        </w:rPr>
        <w:t>H/</w:t>
      </w:r>
      <w:r w:rsidRPr="00143828">
        <w:rPr>
          <w:rFonts w:ascii="Avenir Next" w:hAnsi="Avenir Next"/>
          <w:vertAlign w:val="superscript"/>
        </w:rPr>
        <w:t>13</w:t>
      </w:r>
      <w:r w:rsidRPr="00143828">
        <w:rPr>
          <w:rFonts w:ascii="Avenir Next" w:hAnsi="Avenir Next"/>
        </w:rPr>
        <w:t xml:space="preserve">C SEI </w:t>
      </w:r>
      <w:proofErr w:type="spellStart"/>
      <w:r w:rsidRPr="00143828">
        <w:rPr>
          <w:rFonts w:ascii="Avenir Next" w:hAnsi="Avenir Next"/>
        </w:rPr>
        <w:t>probes</w:t>
      </w:r>
      <w:proofErr w:type="spellEnd"/>
      <w:r w:rsidRPr="00143828">
        <w:rPr>
          <w:rFonts w:ascii="Avenir Next" w:hAnsi="Avenir Next"/>
        </w:rPr>
        <w:t xml:space="preserve"> and </w:t>
      </w:r>
      <w:proofErr w:type="spellStart"/>
      <w:r w:rsidRPr="00143828">
        <w:rPr>
          <w:rFonts w:ascii="Avenir Next" w:hAnsi="Avenir Next"/>
        </w:rPr>
        <w:t>SampleXpress</w:t>
      </w:r>
      <w:proofErr w:type="spellEnd"/>
      <w:r w:rsidRPr="00143828">
        <w:rPr>
          <w:rFonts w:ascii="Avenir Next" w:hAnsi="Avenir Next"/>
        </w:rPr>
        <w:t xml:space="preserve"> 60.</w:t>
      </w:r>
    </w:p>
    <w:p w:rsidR="00143828" w:rsidRPr="00143828" w:rsidRDefault="00143828" w:rsidP="00143828">
      <w:pPr>
        <w:jc w:val="both"/>
        <w:rPr>
          <w:rFonts w:ascii="Avenir Next" w:hAnsi="Avenir Next"/>
        </w:rPr>
      </w:pPr>
    </w:p>
    <w:p w:rsidR="00143828" w:rsidRDefault="00143828" w:rsidP="00143828">
      <w:pPr>
        <w:pStyle w:val="ListParagraph"/>
        <w:numPr>
          <w:ilvl w:val="0"/>
          <w:numId w:val="1"/>
        </w:numPr>
        <w:jc w:val="both"/>
        <w:rPr>
          <w:rFonts w:ascii="Avenir Next" w:hAnsi="Avenir Next"/>
        </w:rPr>
      </w:pPr>
      <w:r>
        <w:rPr>
          <w:rFonts w:ascii="Avenir Next" w:hAnsi="Avenir Next"/>
        </w:rPr>
        <w:t xml:space="preserve">Access to </w:t>
      </w:r>
      <w:proofErr w:type="spellStart"/>
      <w:r>
        <w:rPr>
          <w:rFonts w:ascii="Avenir Next" w:hAnsi="Avenir Next"/>
        </w:rPr>
        <w:t>two-channel</w:t>
      </w:r>
      <w:proofErr w:type="spellEnd"/>
      <w:r>
        <w:rPr>
          <w:rFonts w:ascii="Avenir Next" w:hAnsi="Avenir Next"/>
        </w:rPr>
        <w:t xml:space="preserve"> </w:t>
      </w:r>
      <w:proofErr w:type="spellStart"/>
      <w:r>
        <w:rPr>
          <w:rFonts w:ascii="Avenir Next" w:hAnsi="Avenir Next"/>
        </w:rPr>
        <w:t>Bruker</w:t>
      </w:r>
      <w:proofErr w:type="spellEnd"/>
      <w:r>
        <w:rPr>
          <w:rFonts w:ascii="Avenir Next" w:hAnsi="Avenir Next"/>
        </w:rPr>
        <w:t xml:space="preserve"> </w:t>
      </w:r>
      <w:r w:rsidRPr="00143828">
        <w:rPr>
          <w:rFonts w:ascii="Avenir Next" w:hAnsi="Avenir Next"/>
        </w:rPr>
        <w:t xml:space="preserve">AVANCE NEO 400 </w:t>
      </w:r>
      <w:proofErr w:type="spellStart"/>
      <w:r w:rsidRPr="00143828">
        <w:rPr>
          <w:rFonts w:ascii="Avenir Next" w:hAnsi="Avenir Next"/>
        </w:rPr>
        <w:t>with</w:t>
      </w:r>
      <w:proofErr w:type="spellEnd"/>
      <w:r w:rsidRPr="00143828">
        <w:rPr>
          <w:rFonts w:ascii="Avenir Next" w:hAnsi="Avenir Next"/>
        </w:rPr>
        <w:t xml:space="preserve"> BBI </w:t>
      </w:r>
      <w:proofErr w:type="spellStart"/>
      <w:r w:rsidRPr="00143828">
        <w:rPr>
          <w:rFonts w:ascii="Avenir Next" w:hAnsi="Avenir Next"/>
        </w:rPr>
        <w:t>probe</w:t>
      </w:r>
      <w:proofErr w:type="spellEnd"/>
      <w:r w:rsidRPr="00143828">
        <w:rPr>
          <w:rFonts w:ascii="Avenir Next" w:hAnsi="Avenir Next"/>
        </w:rPr>
        <w:t>.</w:t>
      </w:r>
    </w:p>
    <w:p w:rsidR="00143828" w:rsidRPr="00143828" w:rsidRDefault="00143828" w:rsidP="00143828">
      <w:pPr>
        <w:jc w:val="both"/>
        <w:rPr>
          <w:rFonts w:ascii="Avenir Next" w:hAnsi="Avenir Next"/>
        </w:rPr>
      </w:pPr>
      <w:bookmarkStart w:id="0" w:name="_GoBack"/>
      <w:bookmarkEnd w:id="0"/>
    </w:p>
    <w:sectPr w:rsidR="00143828" w:rsidRPr="00143828" w:rsidSect="00AA053A">
      <w:pgSz w:w="11906" w:h="16838"/>
      <w:pgMar w:top="1418" w:right="1418" w:bottom="1418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5473B"/>
    <w:multiLevelType w:val="hybridMultilevel"/>
    <w:tmpl w:val="AB0437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embedSystemFonts/>
  <w:proofState w:spelling="clean"/>
  <w:defaultTabStop w:val="720"/>
  <w:drawingGridHorizontalSpacing w:val="11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AF"/>
    <w:rsid w:val="000A1767"/>
    <w:rsid w:val="001354EB"/>
    <w:rsid w:val="00143828"/>
    <w:rsid w:val="001D1A01"/>
    <w:rsid w:val="002A340F"/>
    <w:rsid w:val="00413EB1"/>
    <w:rsid w:val="004323AC"/>
    <w:rsid w:val="00464009"/>
    <w:rsid w:val="00551457"/>
    <w:rsid w:val="006C175F"/>
    <w:rsid w:val="007F5B42"/>
    <w:rsid w:val="00801B95"/>
    <w:rsid w:val="00824D15"/>
    <w:rsid w:val="00874910"/>
    <w:rsid w:val="00931A81"/>
    <w:rsid w:val="009449BD"/>
    <w:rsid w:val="0096179B"/>
    <w:rsid w:val="00AA053A"/>
    <w:rsid w:val="00AB592C"/>
    <w:rsid w:val="00B07FBE"/>
    <w:rsid w:val="00B12568"/>
    <w:rsid w:val="00B15D51"/>
    <w:rsid w:val="00BA34BA"/>
    <w:rsid w:val="00BE5B8C"/>
    <w:rsid w:val="00C13EAF"/>
    <w:rsid w:val="00D506FD"/>
    <w:rsid w:val="00EB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A782D7D"/>
  <w14:defaultImageDpi w14:val="300"/>
  <w15:chartTrackingRefBased/>
  <w15:docId w15:val="{E7A66ADE-6E73-E04D-BDCC-05A6B0DB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paragraph" w:styleId="Heading3">
    <w:name w:val="heading 3"/>
    <w:basedOn w:val="Normal"/>
    <w:link w:val="Heading3Char"/>
    <w:uiPriority w:val="9"/>
    <w:qFormat/>
    <w:rsid w:val="00C13EAF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C13EAF"/>
    <w:pPr>
      <w:spacing w:before="100" w:beforeAutospacing="1" w:after="100" w:afterAutospacing="1"/>
      <w:outlineLvl w:val="3"/>
    </w:pPr>
    <w:rPr>
      <w:rFonts w:eastAsia="Times New Roman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3EAF"/>
    <w:rPr>
      <w:rFonts w:eastAsia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13EAF"/>
    <w:rPr>
      <w:rFonts w:eastAsia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3EA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13EAF"/>
  </w:style>
  <w:style w:type="paragraph" w:styleId="ListParagraph">
    <w:name w:val="List Paragraph"/>
    <w:basedOn w:val="Normal"/>
    <w:uiPriority w:val="34"/>
    <w:qFormat/>
    <w:rsid w:val="00143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2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portcvuy.anii.org.uy/cv/?2cebe78e18fa760a7d79dd8a0021057dde02e9333677a6c5fcca4cd9f2ebc8ff20700be3044d46d4a23ffbe14bb8f73a516209099e443241db3b37bd796008f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Departamento de Química del Litoral, CENUR Litoral 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Moyna</dc:creator>
  <cp:keywords/>
  <dc:description/>
  <cp:lastModifiedBy>Guillermo Moyna</cp:lastModifiedBy>
  <cp:revision>5</cp:revision>
  <dcterms:created xsi:type="dcterms:W3CDTF">2021-02-08T14:04:00Z</dcterms:created>
  <dcterms:modified xsi:type="dcterms:W3CDTF">2021-02-09T18:12:00Z</dcterms:modified>
</cp:coreProperties>
</file>