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Memorial: Lightweight Control Supplement</w:t>
      </w:r>
    </w:p>
    <w:p>
      <w:pPr>
        <w:pStyle w:val="Heading1"/>
      </w:pPr>
      <w:r>
        <w:t>1. Introduction to Lightweight Alternatives</w:t>
      </w:r>
    </w:p>
    <w:p>
      <w:r>
        <w:t>While reinforcement learning (RL) provides a powerful mechanism for learning memory modulation policies in response to emotional context, it can be computationally intensive and slow to adapt in real-time settings.</w:t>
      </w:r>
    </w:p>
    <w:p>
      <w:r>
        <w:t>This supplement outlines lightweight alternatives for modulating the Q (Query), K (Key), and V (Value) components of attention mechanisms in transformer-based architectures, allowing for faster, more efficient, and interpretable memory systems.</w:t>
      </w:r>
    </w:p>
    <w:p>
      <w:pPr>
        <w:pStyle w:val="Heading1"/>
      </w:pPr>
      <w:r>
        <w:t>2. Query Modulation Alternatives (Q)</w:t>
      </w:r>
    </w:p>
    <w:p>
      <w:r>
        <w:t>The query vector represents the emotional and intentional state of the user. Alternatives to RL for Q include:</w:t>
      </w:r>
    </w:p>
    <w:p>
      <w:r>
        <w:t>- Multi-Armed Bandits (UCB, Thompson Sampling): Select from a set of exploration strategies based on estimated emotional reward.</w:t>
        <w:br/>
        <w:t xml:space="preserve">    - Gating Networks: Use emotion vectors as inputs to a softmax-based gating layer that mixes multiple query strategies.</w:t>
        <w:br/>
        <w:t xml:space="preserve">    - Hebbian Plasticity: Strengthen query-response paths that were emotionally rewarding through associative learning.</w:t>
      </w:r>
    </w:p>
    <w:p>
      <w:pPr>
        <w:pStyle w:val="Heading1"/>
      </w:pPr>
      <w:r>
        <w:t>3. Key Filtering Strategies (K)</w:t>
      </w:r>
    </w:p>
    <w:p>
      <w:r>
        <w:t>Key vectors represent memory slots or past interactions. Alternatives to RL for K include:</w:t>
      </w:r>
    </w:p>
    <w:p>
      <w:r>
        <w:t>- Associative Memory Models (e.g., Hopfield): Automatically activate memories with high emotional similarity.</w:t>
        <w:br/>
        <w:t xml:space="preserve">    - Sparse Attention with Learned Masking: Only top-k keys with high emotional alignment are considered.</w:t>
        <w:br/>
        <w:t xml:space="preserve">    - Entropy-Based Filtering: Suppress or amplify key activations based on the uncertainty or clarity of emotional match.</w:t>
      </w:r>
    </w:p>
    <w:p>
      <w:pPr>
        <w:pStyle w:val="Heading1"/>
      </w:pPr>
      <w:r>
        <w:t>4. Value Selection Methods (V)</w:t>
      </w:r>
    </w:p>
    <w:p>
      <w:r>
        <w:t>Value vectors define how the system responds once a memory is selected. RL alternatives for V include:</w:t>
      </w:r>
    </w:p>
    <w:p>
      <w:r>
        <w:t>- Mixture-of-Experts (MoE): Multiple output modules (empathy, information, reflection), weighted by emotional relevance.</w:t>
        <w:br/>
        <w:t xml:space="preserve">    - Utility-Based Decision Layer: Simple rules to pick responses with highest emotional utility.</w:t>
        <w:br/>
        <w:t xml:space="preserve">    - Emotion-Embedding Matching: Match current emotional vector with stylistic templates to select tone and form.</w:t>
      </w:r>
    </w:p>
    <w:p>
      <w:pPr>
        <w:pStyle w:val="Heading1"/>
      </w:pPr>
      <w:r>
        <w:t>5. Integrated Lightweight Framework</w:t>
      </w:r>
    </w:p>
    <w:p>
      <w:r>
        <w:t>By combining the above methods, we create a full lightweight memory architecture:</w:t>
      </w:r>
    </w:p>
    <w:p>
      <w:r>
        <w:t>- Q: Gating network with emotion vector input</w:t>
        <w:br/>
        <w:t xml:space="preserve">    - K: Sparse key selection with associative memory</w:t>
        <w:br/>
        <w:t xml:space="preserve">    - V: Mixture-of-Experts for emotionally aligned responses</w:t>
      </w:r>
    </w:p>
    <w:p>
      <w:r>
        <w:t>This system is modular, explainable, and adaptable to real-time interaction constraints.</w:t>
      </w:r>
    </w:p>
    <w:p>
      <w:pPr>
        <w:pStyle w:val="Heading1"/>
      </w:pPr>
      <w:r>
        <w:t>6. Use Cases and Future Potential</w:t>
      </w:r>
    </w:p>
    <w:p>
      <w:r>
        <w:t>These lightweight control alternatives make the emotional memory architecture viable for:</w:t>
      </w:r>
    </w:p>
    <w:p>
      <w:r>
        <w:t>- Mobile or edge AI systems with limited compute</w:t>
        <w:br/>
        <w:t xml:space="preserve">    - Fast-reacting agents in mental health or education</w:t>
        <w:br/>
        <w:t xml:space="preserve">    - Transparent AI models where behavior needs to be interpretable</w:t>
      </w:r>
    </w:p>
    <w:p>
      <w:r>
        <w:t>Future work includes hybridizing lightweight control with RL fine-tuning for long-term personalization.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