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vis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120" w:after="200"/>
      </w:pPr>
      <w:r>
        <w:rPr>
          <w:rFonts w:ascii="微软雅黑" w:hAnsi="微软雅黑" w:eastAsia="微软雅黑"/>
          <w:b/>
          <w:color w:val="2A8F9A"/>
          <w:sz w:val="36"/>
        </w:rPr>
        <w:t>目录</w:t>
      </w:r>
      <w:r>
        <w:rPr>
          <w:rFonts w:ascii="Arial" w:hAnsi="Arial" w:eastAsia="Arial"/>
          <w:b/>
          <w:color w:val="1A5C66"/>
          <w:sz w:val="24"/>
        </w:rPr>
        <w:t xml:space="preserve">  TABLE OF CONTENTS</w:t>
      </w:r>
    </w:p>
    <w:p>
      <w:pPr>
        <w:spacing w:after="280" w:before="120"/>
      </w:pPr>
      <w:r>
        <w:rPr>
          <w:rFonts w:ascii="微软雅黑" w:hAnsi="微软雅黑" w:eastAsia="微软雅黑"/>
          <w:b/>
          <w:color w:val="2A8F9A"/>
          <w:sz w:val="26"/>
        </w:rPr>
        <w:t>一、执行总结    EXECUTIVE SUMMARY</w:t>
      </w:r>
    </w:p>
    <w:p>
      <w:pPr>
        <w:spacing w:after="280" w:before="120"/>
      </w:pPr>
      <w:r>
        <w:rPr>
          <w:rFonts w:ascii="微软雅黑" w:hAnsi="微软雅黑" w:eastAsia="微软雅黑"/>
          <w:b/>
          <w:color w:val="2A8F9A"/>
          <w:sz w:val="26"/>
        </w:rPr>
        <w:t>二、项目背景    PROJECT BACKGROUND</w:t>
      </w:r>
    </w:p>
    <w:p>
      <w:pPr>
        <w:spacing w:after="280" w:before="120"/>
      </w:pPr>
      <w:r>
        <w:rPr>
          <w:rFonts w:ascii="微软雅黑" w:hAnsi="微软雅黑" w:eastAsia="微软雅黑"/>
          <w:b/>
          <w:color w:val="2A8F9A"/>
          <w:sz w:val="26"/>
        </w:rPr>
        <w:t>三、核心技术    CORE TECHNOLOGY</w:t>
      </w:r>
    </w:p>
    <w:p>
      <w:pPr>
        <w:spacing w:after="280" w:before="120"/>
      </w:pPr>
      <w:r>
        <w:rPr>
          <w:rFonts w:ascii="微软雅黑" w:hAnsi="微软雅黑" w:eastAsia="微软雅黑"/>
          <w:b/>
          <w:color w:val="2A8F9A"/>
          <w:sz w:val="26"/>
        </w:rPr>
        <w:t>四、系统架构    SYSTEM ARCHITECTURE</w:t>
      </w:r>
    </w:p>
    <w:p>
      <w:pPr>
        <w:spacing w:after="280" w:before="120"/>
      </w:pPr>
      <w:r>
        <w:rPr>
          <w:rFonts w:ascii="微软雅黑" w:hAnsi="微软雅黑" w:eastAsia="微软雅黑"/>
          <w:b/>
          <w:color w:val="2A8F9A"/>
          <w:sz w:val="26"/>
        </w:rPr>
        <w:t>五、创新点    INNOVATION</w:t>
      </w:r>
    </w:p>
    <w:p>
      <w:pPr>
        <w:spacing w:after="280" w:before="120"/>
      </w:pPr>
      <w:r>
        <w:rPr>
          <w:rFonts w:ascii="微软雅黑" w:hAnsi="微软雅黑" w:eastAsia="微软雅黑"/>
          <w:b/>
          <w:color w:val="2A8F9A"/>
          <w:sz w:val="26"/>
        </w:rPr>
        <w:t>六、测试与演示    TESTING &amp; DEMO</w:t>
      </w:r>
    </w:p>
    <w:p>
      <w:pPr>
        <w:spacing w:after="280" w:before="120"/>
      </w:pPr>
      <w:r>
        <w:rPr>
          <w:rFonts w:ascii="微软雅黑" w:hAnsi="微软雅黑" w:eastAsia="微软雅黑"/>
          <w:b/>
          <w:color w:val="2A8F9A"/>
          <w:sz w:val="26"/>
        </w:rPr>
        <w:t>七、总结与展望    CONCLUSION</w:t>
      </w:r>
    </w:p>
    <w:p>
      <w:r>
        <w:br w:type="page"/>
      </w:r>
    </w:p>
    <w:p>
      <w:pPr>
        <w:spacing w:before="120" w:after="200"/>
      </w:pPr>
      <w:r>
        <w:rPr>
          <w:rFonts w:ascii="微软雅黑" w:hAnsi="微软雅黑" w:eastAsia="微软雅黑"/>
          <w:b/>
          <w:color w:val="2A8F9A"/>
          <w:sz w:val="36"/>
        </w:rPr>
        <w:t>一、执行总结</w:t>
      </w:r>
      <w:r>
        <w:rPr>
          <w:rFonts w:ascii="Arial" w:hAnsi="Arial" w:eastAsia="Arial"/>
          <w:b/>
          <w:color w:val="1A5C66"/>
          <w:sz w:val="24"/>
        </w:rPr>
        <w:t xml:space="preserve">  EXECUTIVE SUMMARY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A8F9A"/>
          <w:sz w:val="26"/>
        </w:rPr>
        <w:t>1.1 目的</w:t>
      </w:r>
    </w:p>
    <w:p>
      <w:pPr>
        <w:spacing w:line="324" w:lineRule="auto" w:after="120"/>
        <w:ind w:firstLine="340"/>
        <w:jc w:val="both"/>
      </w:pPr>
      <w:r>
        <w:rPr>
          <w:rFonts w:ascii="微软雅黑" w:hAnsi="微软雅黑" w:eastAsia="微软雅黑"/>
          <w:b w:val="0"/>
          <w:color w:val="3A4A50"/>
          <w:sz w:val="22"/>
        </w:rPr>
        <w:t xml:space="preserve">本方案面向赛题 </w:t>
      </w:r>
      <w:r>
        <w:rPr>
          <w:rFonts w:ascii="微软雅黑" w:hAnsi="微软雅黑" w:eastAsia="微软雅黑"/>
          <w:b/>
          <w:color w:val="2A8F9A"/>
          <w:sz w:val="22"/>
        </w:rPr>
        <w:t>XH-202621</w:t>
      </w:r>
      <w:r>
        <w:rPr>
          <w:rFonts w:ascii="微软雅黑" w:hAnsi="微软雅黑" w:eastAsia="微软雅黑"/>
          <w:b w:val="0"/>
          <w:color w:val="3A4A50"/>
          <w:sz w:val="22"/>
        </w:rPr>
        <w:t>，交付可运行的「执图破局」系统与可评测证据链。目标是让岗位—能力关系可洞察、新兴岗位可发现、人岗匹配可解释。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A8F9A"/>
          <w:sz w:val="26"/>
        </w:rPr>
        <w:t>1.2 背景</w:t>
      </w:r>
    </w:p>
    <w:p>
      <w:pPr>
        <w:spacing w:line="324" w:lineRule="auto" w:after="120"/>
        <w:ind w:firstLine="340"/>
        <w:jc w:val="both"/>
      </w:pPr>
      <w:r>
        <w:rPr>
          <w:rFonts w:ascii="微软雅黑" w:hAnsi="微软雅黑" w:eastAsia="微软雅黑"/>
          <w:b w:val="0"/>
          <w:color w:val="3A4A50"/>
          <w:sz w:val="22"/>
        </w:rPr>
        <w:t>传统招聘以关键词检索为主，岗位别名与能力组合变化快，导致发现滞后、匹配黑盒。平台以多源 JD 语料与知识图谱为底座，形成发现—演化—匹配闭环。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A8F9A"/>
          <w:sz w:val="26"/>
        </w:rPr>
        <w:t>1.3 产品与服务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数字人才地图：岗位/能力关系可视化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新岗位发现：真实发现 + 未来预测双线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能力演化：来源路径与差分复盘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人岗匹配：五维评分与缺口行动清单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智能问答：RAG 检索增强与幻觉防控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3FAFB" w:val="clear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 w:eastAsia="微软雅黑"/>
                <w:b/>
                <w:color w:val="2A8F9A"/>
                <w:sz w:val="22"/>
              </w:rPr>
              <w:t>一句话定位</w:t>
              <w:br/>
            </w:r>
            <w:r>
              <w:rPr>
                <w:rFonts w:ascii="微软雅黑" w:hAnsi="微软雅黑" w:eastAsia="微软雅黑"/>
                <w:b w:val="0"/>
                <w:color w:val="3A4A50"/>
                <w:sz w:val="21"/>
              </w:rPr>
              <w:t>用图谱与数据，把求职、研究与决策连成清晰路径。</w:t>
            </w:r>
          </w:p>
        </w:tc>
      </w:tr>
    </w:tbl>
    <w:p/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A8F9A"/>
          <w:sz w:val="26"/>
        </w:rPr>
        <w:t>1.4 项目优势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**可回放**：发现与匹配结果可追溯到语料与规则版本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**可解释**：五维匹配给出缺口与下一步动作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**可演示**：一屏座舱前端，评委可快速走通主路径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**可评测**：门控、差分、幻觉防控均有验收口径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A8F9A"/>
          <w:sz w:val="26"/>
        </w:rPr>
        <w:t>1.5 技术路线</w:t>
      </w:r>
    </w:p>
    <w:p>
      <w:pPr>
        <w:spacing w:line="324" w:lineRule="auto" w:after="120"/>
        <w:ind w:firstLine="340"/>
        <w:jc w:val="both"/>
      </w:pPr>
      <w:r>
        <w:rPr>
          <w:rFonts w:ascii="微软雅黑" w:hAnsi="微软雅黑" w:eastAsia="微软雅黑"/>
          <w:b w:val="0"/>
          <w:color w:val="3A4A50"/>
          <w:sz w:val="22"/>
        </w:rPr>
        <w:t xml:space="preserve">数据层使用 </w:t>
      </w:r>
      <w:r>
        <w:rPr>
          <w:rFonts w:ascii="微软雅黑" w:hAnsi="微软雅黑" w:eastAsia="微软雅黑"/>
          <w:b/>
          <w:color w:val="2A8F9A"/>
          <w:sz w:val="22"/>
        </w:rPr>
        <w:t>PostgreSQL</w:t>
      </w:r>
      <w:r>
        <w:rPr>
          <w:rFonts w:ascii="微软雅黑" w:hAnsi="微软雅黑" w:eastAsia="微软雅黑"/>
          <w:b w:val="0"/>
          <w:color w:val="3A4A50"/>
          <w:sz w:val="22"/>
        </w:rPr>
        <w:t xml:space="preserve"> 多库视图；服务层以 </w:t>
      </w:r>
      <w:r>
        <w:rPr>
          <w:rFonts w:ascii="微软雅黑" w:hAnsi="微软雅黑" w:eastAsia="微软雅黑"/>
          <w:b/>
          <w:color w:val="2A8F9A"/>
          <w:sz w:val="22"/>
        </w:rPr>
        <w:t>FastAPI</w:t>
      </w:r>
      <w:r>
        <w:rPr>
          <w:rFonts w:ascii="微软雅黑" w:hAnsi="微软雅黑" w:eastAsia="微软雅黑"/>
          <w:b w:val="0"/>
          <w:color w:val="3A4A50"/>
          <w:sz w:val="22"/>
        </w:rPr>
        <w:t xml:space="preserve"> 编排；推理增强接入 </w:t>
      </w:r>
      <w:r>
        <w:rPr>
          <w:rFonts w:ascii="微软雅黑" w:hAnsi="微软雅黑" w:eastAsia="微软雅黑"/>
          <w:b/>
          <w:color w:val="2A8F9A"/>
          <w:sz w:val="22"/>
        </w:rPr>
        <w:t>DeepSeek</w:t>
      </w:r>
      <w:r>
        <w:rPr>
          <w:rFonts w:ascii="微软雅黑" w:hAnsi="微软雅黑" w:eastAsia="微软雅黑"/>
          <w:b w:val="0"/>
          <w:color w:val="3A4A50"/>
          <w:sz w:val="22"/>
        </w:rPr>
        <w:t>；前端以一屏模块化座舱呈现发现/演化/匹配结果。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A8F9A"/>
          <w:sz w:val="26"/>
        </w:rPr>
        <w:t>1.6 团队与单位</w:t>
      </w:r>
    </w:p>
    <w:p>
      <w:pPr>
        <w:spacing w:line="324" w:lineRule="auto" w:after="120"/>
        <w:jc w:val="both"/>
      </w:pPr>
      <w:r>
        <w:rPr>
          <w:rFonts w:ascii="微软雅黑" w:hAnsi="微软雅黑" w:eastAsia="微软雅黑"/>
          <w:b w:val="0"/>
          <w:color w:val="3A4A50"/>
          <w:sz w:val="22"/>
        </w:rPr>
        <w:t>申报单位：河南工业大学 · 人工智能与大数据学院。核心成员：傅英淮、李帅 等。发榜单位：科大讯飞。</w:t>
      </w:r>
    </w:p>
    <w:p>
      <w:r>
        <w:br w:type="page"/>
      </w:r>
    </w:p>
    <w:p>
      <w:pPr>
        <w:spacing w:before="120" w:after="200"/>
      </w:pPr>
      <w:r>
        <w:rPr>
          <w:rFonts w:ascii="微软雅黑" w:hAnsi="微软雅黑" w:eastAsia="微软雅黑"/>
          <w:b/>
          <w:color w:val="2A8F9A"/>
          <w:sz w:val="36"/>
        </w:rPr>
        <w:t>二、项目背景</w:t>
      </w:r>
      <w:r>
        <w:rPr>
          <w:rFonts w:ascii="Arial" w:hAnsi="Arial" w:eastAsia="Arial"/>
          <w:b/>
          <w:color w:val="1A5C66"/>
          <w:sz w:val="24"/>
        </w:rPr>
        <w:t xml:space="preserve">  PROJECT BACKGROUND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A8F9A"/>
          <w:sz w:val="26"/>
        </w:rPr>
        <w:t>2.1 问题定义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岗位标题碎片化，同一能力组合对应多个别名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新兴岗位信号淹没在海量 JD 中，难以及时识别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匹配结果缺少能力缺口与行动建议，难以落地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A8F9A"/>
          <w:sz w:val="26"/>
        </w:rPr>
        <w:t>2.2 解决思路</w:t>
      </w:r>
    </w:p>
    <w:p>
      <w:pPr>
        <w:spacing w:line="324" w:lineRule="auto" w:after="120"/>
        <w:ind w:firstLine="340"/>
        <w:jc w:val="both"/>
      </w:pPr>
      <w:r>
        <w:rPr>
          <w:rFonts w:ascii="微软雅黑" w:hAnsi="微软雅黑" w:eastAsia="微软雅黑"/>
          <w:b w:val="0"/>
          <w:color w:val="3A4A50"/>
          <w:sz w:val="22"/>
        </w:rPr>
        <w:t>以「岗位—能力」为最小关系单元，先做可信入库，再做发现与演化，最后落到可解释匹配。预测岗位与真实发现分流，避免把前瞻信号误当作已招承诺。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3FAFB" w:val="clear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 w:eastAsia="微软雅黑"/>
                <w:b/>
                <w:color w:val="2A8F9A"/>
                <w:sz w:val="22"/>
              </w:rPr>
              <w:t>赛题对齐</w:t>
              <w:br/>
            </w:r>
            <w:r>
              <w:rPr>
                <w:rFonts w:ascii="微软雅黑" w:hAnsi="微软雅黑" w:eastAsia="微软雅黑"/>
                <w:b w:val="0"/>
                <w:color w:val="3A4A50"/>
                <w:sz w:val="21"/>
              </w:rPr>
              <w:t>直接服务揭榜挂帅赛题对知识图谱构建、动态更新与智能匹配的要求，强调可复现与可演示。</w:t>
            </w:r>
          </w:p>
        </w:tc>
      </w:tr>
    </w:tbl>
    <w:p/>
    <w:p>
      <w:r>
        <w:br w:type="page"/>
      </w:r>
    </w:p>
    <w:p>
      <w:pPr>
        <w:spacing w:before="120" w:after="200"/>
      </w:pPr>
      <w:r>
        <w:rPr>
          <w:rFonts w:ascii="微软雅黑" w:hAnsi="微软雅黑" w:eastAsia="微软雅黑"/>
          <w:b/>
          <w:color w:val="2A8F9A"/>
          <w:sz w:val="36"/>
        </w:rPr>
        <w:t>三、核心技术</w:t>
      </w:r>
      <w:r>
        <w:rPr>
          <w:rFonts w:ascii="Arial" w:hAnsi="Arial" w:eastAsia="Arial"/>
          <w:b/>
          <w:color w:val="1A5C66"/>
          <w:sz w:val="24"/>
        </w:rPr>
        <w:t xml:space="preserve">  CORE TECHNOLOGY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A8F9A"/>
          <w:sz w:val="26"/>
        </w:rPr>
        <w:t>3.1 技术总览</w:t>
      </w:r>
    </w:p>
    <w:p>
      <w:pPr>
        <w:spacing w:line="324" w:lineRule="auto" w:after="120"/>
        <w:ind w:firstLine="340"/>
        <w:jc w:val="both"/>
      </w:pPr>
      <w:r>
        <w:rPr>
          <w:rFonts w:ascii="微软雅黑" w:hAnsi="微软雅黑" w:eastAsia="微软雅黑"/>
          <w:b w:val="0"/>
          <w:color w:val="3A4A50"/>
          <w:sz w:val="22"/>
        </w:rPr>
        <w:t>五项可定位创新（I1—I5）构成平台能力主轴：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I1 入库门控：质量/合规/去重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I2 新兴岗位发现：真实发现与预测分流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I3 能力演化差分：可复算路径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I4 五维人岗匹配：缺口可解释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I5 RAG 幻觉防控：检索约束与拒答策略</w:t>
      </w:r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A8F9A"/>
          <w:sz w:val="26"/>
        </w:rPr>
        <w:t>3.2 I1 入库门控</w:t>
      </w:r>
    </w:p>
    <w:p>
      <w:pPr>
        <w:spacing w:line="324" w:lineRule="auto" w:after="120"/>
        <w:ind w:firstLine="340"/>
        <w:jc w:val="both"/>
      </w:pPr>
      <w:r>
        <w:rPr>
          <w:rFonts w:ascii="微软雅黑" w:hAnsi="微软雅黑" w:eastAsia="微软雅黑"/>
          <w:b w:val="0"/>
          <w:color w:val="3A4A50"/>
          <w:sz w:val="22"/>
        </w:rPr>
        <w:t>多源 JD 进入图谱前，经过字段完备性、噪声清洗与去重校验。门控失败样本可回看，保证后续发现与匹配建立在可信语料上。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A8F9A"/>
          <w:sz w:val="26"/>
        </w:rPr>
        <w:t>3.3 I2 新兴岗位发现</w:t>
      </w:r>
    </w:p>
    <w:p>
      <w:pPr>
        <w:spacing w:line="324" w:lineRule="auto" w:after="120"/>
        <w:ind w:firstLine="340"/>
        <w:jc w:val="both"/>
      </w:pPr>
      <w:r>
        <w:rPr>
          <w:rFonts w:ascii="微软雅黑" w:hAnsi="微软雅黑" w:eastAsia="微软雅黑"/>
          <w:b w:val="0"/>
          <w:color w:val="3A4A50"/>
          <w:sz w:val="22"/>
        </w:rPr>
        <w:t>真实发现线：聚类已在招聘文本中稳定出现的新岗位组合。预测线：交汇能力推演尚未固化的标题，必须附不确定性说明。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3FAFB" w:val="clear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 w:eastAsia="微软雅黑"/>
                <w:b/>
                <w:color w:val="2A8F9A"/>
                <w:sz w:val="22"/>
              </w:rPr>
              <w:t>读法提醒</w:t>
              <w:br/>
            </w:r>
            <w:r>
              <w:rPr>
                <w:rFonts w:ascii="微软雅黑" w:hAnsi="微软雅黑" w:eastAsia="微软雅黑"/>
                <w:b w:val="0"/>
                <w:color w:val="3A4A50"/>
                <w:sz w:val="21"/>
              </w:rPr>
              <w:t>预测岗是前瞻信号，不是录用保证；决策前必读不确定性模块。</w:t>
            </w:r>
          </w:p>
        </w:tc>
      </w:tr>
    </w:tbl>
    <w:p/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A8F9A"/>
          <w:sz w:val="26"/>
        </w:rPr>
        <w:t>3.4 I3 能力演化差分</w:t>
      </w:r>
    </w:p>
    <w:p>
      <w:pPr>
        <w:spacing w:line="324" w:lineRule="auto" w:after="120"/>
        <w:ind w:firstLine="340"/>
        <w:jc w:val="both"/>
      </w:pPr>
      <w:r>
        <w:rPr>
          <w:rFonts w:ascii="微软雅黑" w:hAnsi="微软雅黑" w:eastAsia="微软雅黑"/>
          <w:b w:val="0"/>
          <w:color w:val="3A4A50"/>
          <w:sz w:val="22"/>
        </w:rPr>
        <w:t>以相邻已有岗为源，计算能力增减与迁移成本，输出主路径/次路径与必补清单，支持「从哪来、还差什么」的复盘。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A8F9A"/>
          <w:sz w:val="26"/>
        </w:rPr>
        <w:t>3.5 I4 五维人岗匹配</w:t>
      </w:r>
    </w:p>
    <w:p>
      <w:pPr>
        <w:spacing w:line="324" w:lineRule="auto" w:after="120"/>
        <w:ind w:firstLine="340"/>
        <w:jc w:val="both"/>
      </w:pPr>
      <w:r>
        <w:rPr>
          <w:rFonts w:ascii="微软雅黑" w:hAnsi="微软雅黑" w:eastAsia="微软雅黑"/>
          <w:b w:val="0"/>
          <w:color w:val="3A4A50"/>
          <w:sz w:val="22"/>
        </w:rPr>
        <w:t>从技能重合、职责覆盖、行业迁移、经验层次、成长潜力五维评分，并生成优先缺口与本周可做行动。</w:t>
      </w:r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A8F9A"/>
          <w:sz w:val="26"/>
        </w:rPr>
        <w:t>3.6 I5 RAG 幻觉防控</w:t>
      </w:r>
    </w:p>
    <w:p>
      <w:pPr>
        <w:spacing w:line="324" w:lineRule="auto" w:after="120"/>
        <w:ind w:firstLine="340"/>
        <w:jc w:val="both"/>
      </w:pPr>
      <w:r>
        <w:rPr>
          <w:rFonts w:ascii="微软雅黑" w:hAnsi="微软雅黑" w:eastAsia="微软雅黑"/>
          <w:b w:val="0"/>
          <w:color w:val="3A4A50"/>
          <w:sz w:val="22"/>
        </w:rPr>
        <w:t>问答与解读优先引用已入库证据；证据不足时降级或拒答，避免把模型推测写成事实结论。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A8F9A"/>
          <w:sz w:val="26"/>
        </w:rPr>
        <w:t>3.7 关键能力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一屏模块化详情：左导航 / 中主图 / 右解读同高对齐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供需、趋势、雷达等可视化与行动清单联动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简历对照报告：把窗口翻译成可补能力项</w:t>
      </w:r>
    </w:p>
    <w:p>
      <w:r>
        <w:br w:type="page"/>
      </w:r>
    </w:p>
    <w:p>
      <w:pPr>
        <w:spacing w:before="120" w:after="200"/>
      </w:pPr>
      <w:r>
        <w:rPr>
          <w:rFonts w:ascii="微软雅黑" w:hAnsi="微软雅黑" w:eastAsia="微软雅黑"/>
          <w:b/>
          <w:color w:val="2A8F9A"/>
          <w:sz w:val="36"/>
        </w:rPr>
        <w:t>四、系统架构</w:t>
      </w:r>
      <w:r>
        <w:rPr>
          <w:rFonts w:ascii="Arial" w:hAnsi="Arial" w:eastAsia="Arial"/>
          <w:b/>
          <w:color w:val="1A5C66"/>
          <w:sz w:val="24"/>
        </w:rPr>
        <w:t xml:space="preserve">  SYSTEM ARCHITECTURE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A8F9A"/>
          <w:sz w:val="26"/>
        </w:rPr>
        <w:t>4.1 总体分层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数据层：PostgreSQL（岗位/能力/匹配相关库与视图）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服务层：FastAPI 路由 + 异步任务/批处理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智能层：规则引擎 + DeepSeek 增强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表现层：静态前端座舱（发现/地图/匹配/仓库）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A8F9A"/>
          <w:sz w:val="26"/>
        </w:rPr>
        <w:t>4.2 关键链路</w:t>
      </w:r>
    </w:p>
    <w:p>
      <w:pPr>
        <w:spacing w:line="324" w:lineRule="auto" w:after="120"/>
        <w:ind w:firstLine="340"/>
        <w:jc w:val="both"/>
      </w:pPr>
      <w:r>
        <w:rPr>
          <w:rFonts w:ascii="微软雅黑" w:hAnsi="微软雅黑" w:eastAsia="微软雅黑"/>
          <w:b w:val="0"/>
          <w:color w:val="3A4A50"/>
          <w:sz w:val="22"/>
        </w:rPr>
        <w:t>列表 → 详情模块切换 → 洞察栏行动 → 简历对照 / 收藏回看。每条链路均可在演示中 3 分钟内走通。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3FAFB" w:val="clear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 w:eastAsia="微软雅黑"/>
                <w:b/>
                <w:color w:val="2A8F9A"/>
                <w:sz w:val="22"/>
              </w:rPr>
              <w:t>部署口径</w:t>
              <w:br/>
            </w:r>
            <w:r>
              <w:rPr>
                <w:rFonts w:ascii="微软雅黑" w:hAnsi="微软雅黑" w:eastAsia="微软雅黑"/>
                <w:b w:val="0"/>
                <w:color w:val="3A4A50"/>
                <w:sz w:val="21"/>
              </w:rPr>
              <w:t>本地开发：后端 8000，前端静态服务；演示环境可同构迁移。</w:t>
            </w:r>
          </w:p>
        </w:tc>
      </w:tr>
    </w:tbl>
    <w:p/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A8F9A"/>
          <w:sz w:val="26"/>
        </w:rPr>
        <w:t>4.3 数据与安全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语料入库留痕，支持版本对照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用户简历与收藏数据隔离存储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对外展示区分真实发现与预测，降低误读风险</w:t>
      </w:r>
    </w:p>
    <w:p>
      <w:r>
        <w:br w:type="page"/>
      </w:r>
    </w:p>
    <w:p>
      <w:pPr>
        <w:spacing w:before="120" w:after="200"/>
      </w:pPr>
      <w:r>
        <w:rPr>
          <w:rFonts w:ascii="微软雅黑" w:hAnsi="微软雅黑" w:eastAsia="微软雅黑"/>
          <w:b/>
          <w:color w:val="2A8F9A"/>
          <w:sz w:val="36"/>
        </w:rPr>
        <w:t>五、创新点</w:t>
      </w:r>
      <w:r>
        <w:rPr>
          <w:rFonts w:ascii="Arial" w:hAnsi="Arial" w:eastAsia="Arial"/>
          <w:b/>
          <w:color w:val="1A5C66"/>
          <w:sz w:val="24"/>
        </w:rPr>
        <w:t xml:space="preserve">  INNOVATION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A8F9A"/>
          <w:sz w:val="26"/>
        </w:rPr>
        <w:t>5.1 创新矩阵</w:t>
      </w:r>
    </w:p>
    <w:p>
      <w:pPr>
        <w:spacing w:line="324" w:lineRule="auto" w:after="120"/>
        <w:ind w:firstLine="340"/>
        <w:jc w:val="both"/>
      </w:pPr>
      <w:r>
        <w:rPr>
          <w:rFonts w:ascii="微软雅黑" w:hAnsi="微软雅黑" w:eastAsia="微软雅黑"/>
          <w:b w:val="0"/>
          <w:color w:val="3A4A50"/>
          <w:sz w:val="22"/>
        </w:rPr>
        <w:t>创新不追求概念堆叠，而强调</w:t>
      </w:r>
      <w:r>
        <w:rPr>
          <w:rFonts w:ascii="微软雅黑" w:hAnsi="微软雅黑" w:eastAsia="微软雅黑"/>
          <w:b/>
          <w:color w:val="2A8F9A"/>
          <w:sz w:val="22"/>
        </w:rPr>
        <w:t>可定位、可验收、可演示</w:t>
      </w:r>
      <w:r>
        <w:rPr>
          <w:rFonts w:ascii="微软雅黑" w:hAnsi="微软雅黑" w:eastAsia="微软雅黑"/>
          <w:b w:val="0"/>
          <w:color w:val="3A4A50"/>
          <w:sz w:val="22"/>
        </w:rPr>
        <w:t>：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发现可回放：样本与规则版本可追溯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演化可复算：差分结果可重跑核对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匹配可解释：五维拆解 + 行动清单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预测可降噪：不确定性模块强制露出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问答可约束：RAG 证据优先与拒答</w:t>
      </w:r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A8F9A"/>
          <w:sz w:val="26"/>
        </w:rPr>
        <w:t>5.2 与同类方案差异</w:t>
      </w:r>
    </w:p>
    <w:p>
      <w:pPr>
        <w:spacing w:line="324" w:lineRule="auto" w:after="120"/>
        <w:ind w:firstLine="340"/>
        <w:jc w:val="both"/>
      </w:pPr>
      <w:r>
        <w:rPr>
          <w:rFonts w:ascii="微软雅黑" w:hAnsi="微软雅黑" w:eastAsia="微软雅黑"/>
          <w:b w:val="0"/>
          <w:color w:val="3A4A50"/>
          <w:sz w:val="22"/>
        </w:rPr>
        <w:t>相较纯关键词招聘搜索或静态职业百科，本系统把「新岗位出现—能力迁移—人岗缺口」串成同一套图谱语言，评委可从同一岗位详情页同时看到证据、路径与行动。</w:t>
      </w:r>
    </w:p>
    <w:p>
      <w:r>
        <w:br w:type="page"/>
      </w:r>
    </w:p>
    <w:p>
      <w:pPr>
        <w:spacing w:before="120" w:after="200"/>
      </w:pPr>
      <w:r>
        <w:rPr>
          <w:rFonts w:ascii="微软雅黑" w:hAnsi="微软雅黑" w:eastAsia="微软雅黑"/>
          <w:b/>
          <w:color w:val="2A8F9A"/>
          <w:sz w:val="36"/>
        </w:rPr>
        <w:t>六、测试与演示</w:t>
      </w:r>
      <w:r>
        <w:rPr>
          <w:rFonts w:ascii="Arial" w:hAnsi="Arial" w:eastAsia="Arial"/>
          <w:b/>
          <w:color w:val="1A5C66"/>
          <w:sz w:val="24"/>
        </w:rPr>
        <w:t xml:space="preserve">  TESTING &amp; DEMO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A8F9A"/>
          <w:sz w:val="26"/>
        </w:rPr>
        <w:t>6.1 验收要点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门控：脏数据拦截与日志可查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发现：真实/预测分流展示正确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匹配：五维分数与缺口一致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前端：三列同高、模块切换无大面积留白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问答：无证据时不硬编结论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A8F9A"/>
          <w:sz w:val="26"/>
        </w:rPr>
        <w:t>6.2 演示脚本（建议 5 分钟）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30s：封面定位与赛题编号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90s：新岗位发现（真实岗详情 + 供需）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90s：能力演化路径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90s：人岗匹配与缺口行动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3A4A50"/>
          <w:sz w:val="22"/>
        </w:rPr>
        <w:t>●  30s：创新点与评测证据收束</w:t>
      </w:r>
    </w:p>
    <w:p>
      <w:r>
        <w:br w:type="page"/>
      </w:r>
    </w:p>
    <w:p>
      <w:pPr>
        <w:spacing w:before="120" w:after="200"/>
      </w:pPr>
      <w:r>
        <w:rPr>
          <w:rFonts w:ascii="微软雅黑" w:hAnsi="微软雅黑" w:eastAsia="微软雅黑"/>
          <w:b/>
          <w:color w:val="2A8F9A"/>
          <w:sz w:val="36"/>
        </w:rPr>
        <w:t>七、总结与展望</w:t>
      </w:r>
      <w:r>
        <w:rPr>
          <w:rFonts w:ascii="Arial" w:hAnsi="Arial" w:eastAsia="Arial"/>
          <w:b/>
          <w:color w:val="1A5C66"/>
          <w:sz w:val="24"/>
        </w:rPr>
        <w:t xml:space="preserve">  CONCLUSION</w:t>
      </w:r>
    </w:p>
    <w:p>
      <w:pPr>
        <w:spacing w:line="324" w:lineRule="auto" w:after="120"/>
        <w:ind w:firstLine="340"/>
        <w:jc w:val="both"/>
      </w:pPr>
      <w:r>
        <w:rPr>
          <w:rFonts w:ascii="微软雅黑" w:hAnsi="微软雅黑" w:eastAsia="微软雅黑"/>
          <w:b w:val="0"/>
          <w:color w:val="3A4A50"/>
          <w:sz w:val="22"/>
        </w:rPr>
        <w:t>执图破局以可信语料为基、以图谱关系为核、以可解释匹配为用，形成面向揭榜挂帅赛题的完整作品闭环。后续将持续扩充语料覆盖、强化演化评测集，并优化演示动线与报告导出体验。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3FAFB" w:val="clear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 w:eastAsia="微软雅黑"/>
                <w:b/>
                <w:color w:val="2A8F9A"/>
                <w:sz w:val="22"/>
              </w:rPr>
              <w:t>提交清单</w:t>
              <w:br/>
            </w:r>
            <w:r>
              <w:rPr>
                <w:rFonts w:ascii="微软雅黑" w:hAnsi="微软雅黑" w:eastAsia="微软雅黑"/>
                <w:b w:val="0"/>
                <w:color w:val="3A4A50"/>
                <w:sz w:val="21"/>
              </w:rPr>
              <w:t>可运行系统 + 本设计实现方案 + 演示脚本/录屏 + 关键接口与评测记录。</w:t>
            </w:r>
          </w:p>
        </w:tc>
      </w:tr>
    </w:tbl>
    <w:p/>
    <w:sectPr w:rsidR="00FC693F" w:rsidRPr="0006063C" w:rsidSect="00034616">
      <w:headerReference w:type="default" r:id="rId12"/>
      <w:footerReference w:type="default" r:id="rId13"/>
      <w:pgSz w:w="11906" w:h="16838"/>
      <w:pgMar w:top="1020" w:right="1134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autofit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4762"/>
          <w:shd w:fill="1A3A4A" w:val="clear"/>
          <w:tcMar>
            <w:top w:w="70" w:type="dxa"/>
            <w:bottom w:w="70" w:type="dxa"/>
            <w:left w:w="140" w:type="dxa"/>
            <w:right w:w="40" w:type="dxa"/>
          </w:tcMar>
        </w:tcPr>
        <w:p>
          <w:pPr>
            <w:jc w:val="left"/>
          </w:pPr>
          <w:r>
            <w:rPr>
              <w:rFonts w:ascii="微软雅黑" w:hAnsi="微软雅黑" w:eastAsia="微软雅黑"/>
              <w:b w:val="0"/>
              <w:color w:val="FFFFFF"/>
              <w:sz w:val="18"/>
            </w:rPr>
            <w:t>执图破局 作品设计实现方案 · XH-202621</w:t>
          </w:r>
        </w:p>
      </w:tc>
      <w:tc>
        <w:tcPr>
          <w:tcW w:type="dxa" w:w="4762"/>
          <w:shd w:fill="1A3A4A" w:val="clear"/>
          <w:tcMar>
            <w:top w:w="70" w:type="dxa"/>
            <w:bottom w:w="70" w:type="dxa"/>
            <w:left w:w="40" w:type="dxa"/>
            <w:right w:w="140" w:type="dxa"/>
          </w:tcMar>
        </w:tcPr>
        <w:p>
          <w:pPr>
            <w:jc w:val="right"/>
          </w:pPr>
          <w:r>
            <w:rPr>
              <w:rFonts w:ascii="微软雅黑" w:hAnsi="微软雅黑" w:eastAsia="微软雅黑"/>
              <w:b w:val="0"/>
              <w:color w:val="FFFFFF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drawing>
        <wp:inline xmlns:a="http://schemas.openxmlformats.org/drawingml/2006/main" xmlns:pic="http://schemas.openxmlformats.org/drawingml/2006/picture">
          <wp:extent cx="1152000" cy="115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age-cor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1152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