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160" w:before="80"/>
        <w:jc w:val="center"/>
      </w:pPr>
      <w:r>
        <w:rPr>
          <w:rFonts w:ascii="Arial" w:cs="Arial" w:eastAsia="Arial" w:hAnsi="Arial"/>
          <w:b/>
          <w:bCs/>
          <w:color w:val="1A1A1A"/>
          <w:sz w:val="32"/>
          <w:szCs w:val="32"/>
        </w:rPr>
        <w:t xml:space="preserve">Business Continuity Plan</w:t>
      </w:r>
    </w:p>
    <w:p>
      <w:pPr>
        <w:spacing w:after="80" w:before="80"/>
        <w:jc w:val="center"/>
      </w:pPr>
      <w:r>
        <w:rPr>
          <w:rFonts w:ascii="Arial" w:cs="Arial" w:eastAsia="Arial" w:hAnsi="Arial"/>
          <w:i/>
          <w:iCs/>
          <w:color w:val="666666"/>
          <w:sz w:val="24"/>
          <w:szCs w:val="24"/>
        </w:rPr>
        <w:t xml:space="preserve">Version 04.2026  |  Effective Date: April 13, 2026</w:t>
      </w:r>
    </w:p>
    <w:p>
      <w:pPr>
        <w:spacing w:after="80" w:before="40"/>
        <w:jc w:val="center"/>
      </w:pPr>
      <w:r>
        <w:rPr>
          <w:rFonts w:ascii="Arial" w:cs="Arial" w:eastAsia="Arial" w:hAnsi="Arial"/>
          <w:i/>
          <w:iCs/>
          <w:color w:val="666666"/>
          <w:sz w:val="24"/>
          <w:szCs w:val="24"/>
        </w:rPr>
        <w:t xml:space="preserve">Reviewed and Approved: April 2026  |  Supersedes: v.01.2026 (January 2026)</w:t>
      </w:r>
    </w:p>
    <w:p>
      <w:pPr>
        <w:spacing w:after="240" w:before="40"/>
        <w:jc w:val="center"/>
      </w:pPr>
      <w:r>
        <w:rPr>
          <w:rFonts w:ascii="Arial" w:cs="Arial" w:eastAsia="Arial" w:hAnsi="Arial"/>
          <w:i/>
          <w:iCs/>
          <w:color w:val="666666"/>
          <w:sz w:val="24"/>
          <w:szCs w:val="24"/>
        </w:rPr>
        <w:t xml:space="preserve">OAC 1301:6-3-44(H)  |  Ohio-Registered Investment Adviser</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Business Continuity Plan is the property of Buckeye Wealth Partners, LLC (“BWP” or “Advisor”). Copies shall be distributed to all employees critical to daily operations. Attestation of receipt is required. When the BCP is updated, all applicable employees will review the revised plan and sign a new attestation.</w:t>
      </w:r>
    </w:p>
    <w:p>
      <w:pPr>
        <w:spacing w:after="0" w:before="0" w:line="240"/>
      </w:pPr>
      <w:r>
        <w:rPr>
          <w:sz w:val="24"/>
          <w:szCs w:val="24"/>
        </w:rPr>
        <w:t xml:space="preserve"/>
      </w:r>
    </w:p>
    <w:p>
      <w:pPr>
        <w:spacing w:after="0" w:before="0" w:line="240"/>
      </w:pPr>
      <w:r>
        <w:rPr>
          <w:sz w:val="24"/>
          <w:szCs w:val="24"/>
        </w:rPr>
        <w:t xml:space="preserve"/>
      </w:r>
    </w:p>
    <w:p>
      <w:pPr>
        <w:pBdr>
          <w:bottom w:val="single" w:color="1B3A5C" w:sz="4" w:space="4"/>
        </w:pBdr>
        <w:spacing w:after="160" w:before="360" w:line="276" w:lineRule="auto"/>
      </w:pPr>
      <w:r>
        <w:rPr>
          <w:rFonts w:ascii="Arial" w:cs="Arial" w:eastAsia="Arial" w:hAnsi="Arial"/>
          <w:b/>
          <w:bCs/>
          <w:color w:val="1B3A5C"/>
          <w:sz w:val="32"/>
          <w:szCs w:val="32"/>
        </w:rPr>
        <w:t xml:space="preserve">I. Purpose and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Buckeye Wealth Partners, LLC (“BWP” or “Advisor”) has devised a Business Continuity Plan (“BCP”) in order to effectively address and state the specific steps which we shall use and employ in order to recover from any disaster or emergency.</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this BCP is to define the strategies and plans that will be used by BWP during a significant business disruption (“SBD”). An SBD includes any event or situation that significantly impacts the Advisor’s ability to provide advisory services to its clients. The BCP outlines the Advisor’s procedures designed to ensure that critical business functions can continue during and after an SBD and that the Advisor can resume operations as quickly as possible after an SBD. The BCP is prepared to address both internal SBDs, such as a fire in the Advisor’s building or the death of key personnel, and external SBDs, such as a natural disaster, terrorist attack, citywide power disruption, cybersecurity incident, data breach or ransomware attack, or pandemic or public health emergency. It is also designed to address SBDs of different severities.</w:t>
      </w:r>
    </w:p>
    <w:p>
      <w:pPr>
        <w:spacing w:after="120" w:before="280" w:line="276" w:lineRule="auto"/>
      </w:pPr>
      <w:r>
        <w:rPr>
          <w:rFonts w:ascii="Arial" w:cs="Arial" w:eastAsia="Arial" w:hAnsi="Arial"/>
          <w:b/>
          <w:bCs/>
          <w:color w:val="2E6B9E"/>
          <w:sz w:val="28"/>
          <w:szCs w:val="28"/>
        </w:rPr>
        <w:t xml:space="preserve">Significant Business Disruption (SBD) Scenarios</w:t>
      </w:r>
    </w:p>
    <w:p>
      <w:pPr>
        <w:spacing w:after="120" w:before="120" w:line="276" w:lineRule="auto"/>
        <w:jc w:val="left"/>
      </w:pPr>
      <w:r>
        <w:rPr>
          <w:rFonts w:ascii="Arial" w:cs="Arial" w:eastAsia="Arial" w:hAnsi="Arial"/>
          <w:b w:val="false"/>
          <w:bCs w:val="false"/>
          <w:i w:val="false"/>
          <w:iCs w:val="false"/>
          <w:color w:val="1A1A1A"/>
          <w:sz w:val="24"/>
          <w:szCs w:val="24"/>
        </w:rPr>
        <w:t xml:space="preserve">This BCP addresses, without limitation, the following SBD scenarios:</w:t>
      </w:r>
    </w:p>
    <w:p>
      <w:pPr>
        <w:spacing w:after="60" w:before="60" w:line="276" w:lineRule="auto"/>
        <w:ind w:left="360"/>
      </w:pPr>
      <w:r>
        <w:rPr>
          <w:rFonts w:ascii="Arial" w:cs="Arial" w:eastAsia="Arial" w:hAnsi="Arial"/>
          <w:b w:val="false"/>
          <w:bCs w:val="false"/>
          <w:color w:val="1A1A1A"/>
          <w:sz w:val="24"/>
          <w:szCs w:val="24"/>
        </w:rPr>
        <w:t xml:space="preserve">•  Fire, flood, or physical damage to the principal office;</w:t>
      </w:r>
    </w:p>
    <w:p>
      <w:pPr>
        <w:spacing w:after="60" w:before="60" w:line="276" w:lineRule="auto"/>
        <w:ind w:left="360"/>
      </w:pPr>
      <w:r>
        <w:rPr>
          <w:rFonts w:ascii="Arial" w:cs="Arial" w:eastAsia="Arial" w:hAnsi="Arial"/>
          <w:b w:val="false"/>
          <w:bCs w:val="false"/>
          <w:color w:val="1A1A1A"/>
          <w:sz w:val="24"/>
          <w:szCs w:val="24"/>
        </w:rPr>
        <w:t xml:space="preserve">•  Extended power outage or utility failure;</w:t>
      </w:r>
    </w:p>
    <w:p>
      <w:pPr>
        <w:spacing w:after="60" w:before="60" w:line="276" w:lineRule="auto"/>
        <w:ind w:left="360"/>
      </w:pPr>
      <w:r>
        <w:rPr>
          <w:rFonts w:ascii="Arial" w:cs="Arial" w:eastAsia="Arial" w:hAnsi="Arial"/>
          <w:b w:val="false"/>
          <w:bCs w:val="false"/>
          <w:color w:val="1A1A1A"/>
          <w:sz w:val="24"/>
          <w:szCs w:val="24"/>
        </w:rPr>
        <w:t xml:space="preserve">•  Death, disability, or incapacity of key personnel (Jim Kilgore);</w:t>
      </w:r>
    </w:p>
    <w:p>
      <w:pPr>
        <w:spacing w:after="60" w:before="60" w:line="276" w:lineRule="auto"/>
        <w:ind w:left="360"/>
      </w:pPr>
      <w:r>
        <w:rPr>
          <w:rFonts w:ascii="Arial" w:cs="Arial" w:eastAsia="Arial" w:hAnsi="Arial"/>
          <w:b w:val="false"/>
          <w:bCs w:val="false"/>
          <w:color w:val="1A1A1A"/>
          <w:sz w:val="24"/>
          <w:szCs w:val="24"/>
        </w:rPr>
        <w:t xml:space="preserve">•  Natural disaster (tornado, severe storm, ice storm) affecting the Dayton, Ohio area;</w:t>
      </w:r>
    </w:p>
    <w:p>
      <w:pPr>
        <w:spacing w:after="60" w:before="60" w:line="276" w:lineRule="auto"/>
        <w:ind w:left="360"/>
      </w:pPr>
      <w:r>
        <w:rPr>
          <w:rFonts w:ascii="Arial" w:cs="Arial" w:eastAsia="Arial" w:hAnsi="Arial"/>
          <w:b w:val="false"/>
          <w:bCs w:val="false"/>
          <w:color w:val="1A1A1A"/>
          <w:sz w:val="24"/>
          <w:szCs w:val="24"/>
        </w:rPr>
        <w:t xml:space="preserve">•  Terrorist attack or civil disturbance;</w:t>
      </w:r>
    </w:p>
    <w:p>
      <w:pPr>
        <w:spacing w:after="60" w:before="60" w:line="276" w:lineRule="auto"/>
        <w:ind w:left="360"/>
      </w:pPr>
      <w:r>
        <w:rPr>
          <w:rFonts w:ascii="Arial" w:cs="Arial" w:eastAsia="Arial" w:hAnsi="Arial"/>
          <w:b w:val="false"/>
          <w:bCs w:val="false"/>
          <w:color w:val="1A1A1A"/>
          <w:sz w:val="24"/>
          <w:szCs w:val="24"/>
        </w:rPr>
        <w:t xml:space="preserve">•  Citywide or regional communications/internet outage;</w:t>
      </w:r>
    </w:p>
    <w:p>
      <w:pPr>
        <w:spacing w:after="60" w:before="60" w:line="276" w:lineRule="auto"/>
        <w:ind w:left="360"/>
      </w:pPr>
      <w:r>
        <w:rPr>
          <w:rFonts w:ascii="Arial" w:cs="Arial" w:eastAsia="Arial" w:hAnsi="Arial"/>
          <w:b w:val="false"/>
          <w:bCs w:val="false"/>
          <w:color w:val="1A1A1A"/>
          <w:sz w:val="24"/>
          <w:szCs w:val="24"/>
        </w:rPr>
        <w:t xml:space="preserve">•  Cybersecurity incident, data breach, or ransomware attack affecting BWP systems or critical vendors;</w:t>
      </w:r>
    </w:p>
    <w:p>
      <w:pPr>
        <w:spacing w:after="60" w:before="60" w:line="276" w:lineRule="auto"/>
        <w:ind w:left="360"/>
      </w:pPr>
      <w:r>
        <w:rPr>
          <w:rFonts w:ascii="Arial" w:cs="Arial" w:eastAsia="Arial" w:hAnsi="Arial"/>
          <w:b w:val="false"/>
          <w:bCs w:val="false"/>
          <w:color w:val="1A1A1A"/>
          <w:sz w:val="24"/>
          <w:szCs w:val="24"/>
        </w:rPr>
        <w:t xml:space="preserve">•  Pandemic or public health emergency requiring extended remote operations.</w:t>
      </w:r>
    </w:p>
    <w:p>
      <w:pPr>
        <w:spacing w:after="120" w:before="280" w:line="276" w:lineRule="auto"/>
      </w:pPr>
      <w:r>
        <w:rPr>
          <w:rFonts w:ascii="Arial" w:cs="Arial" w:eastAsia="Arial" w:hAnsi="Arial"/>
          <w:b/>
          <w:bCs/>
          <w:color w:val="2E6B9E"/>
          <w:sz w:val="28"/>
          <w:szCs w:val="28"/>
        </w:rPr>
        <w:t xml:space="preserve">Objectives of the BCP</w:t>
      </w:r>
    </w:p>
    <w:p>
      <w:pPr>
        <w:spacing w:after="120" w:before="120" w:line="276" w:lineRule="auto"/>
        <w:jc w:val="left"/>
      </w:pPr>
      <w:r>
        <w:rPr>
          <w:rFonts w:ascii="Arial" w:cs="Arial" w:eastAsia="Arial" w:hAnsi="Arial"/>
          <w:b w:val="false"/>
          <w:bCs w:val="false"/>
          <w:i w:val="false"/>
          <w:iCs w:val="false"/>
          <w:color w:val="1A1A1A"/>
          <w:sz w:val="24"/>
          <w:szCs w:val="24"/>
        </w:rPr>
        <w:t xml:space="preserve">The objective of this BCP is to resolve the following topics in the event of an SBD:</w:t>
      </w:r>
    </w:p>
    <w:p>
      <w:pPr>
        <w:spacing w:after="60" w:before="60" w:line="276" w:lineRule="auto"/>
        <w:ind w:left="360"/>
      </w:pPr>
      <w:r>
        <w:rPr>
          <w:rFonts w:ascii="Arial" w:cs="Arial" w:eastAsia="Arial" w:hAnsi="Arial"/>
          <w:b w:val="false"/>
          <w:bCs w:val="false"/>
          <w:color w:val="1A1A1A"/>
          <w:sz w:val="24"/>
          <w:szCs w:val="24"/>
        </w:rPr>
        <w:t xml:space="preserve">•  The protection, backup, and recovery of books and records;</w:t>
      </w:r>
    </w:p>
    <w:p>
      <w:pPr>
        <w:spacing w:after="60" w:before="60" w:line="276" w:lineRule="auto"/>
        <w:ind w:left="360"/>
      </w:pPr>
      <w:r>
        <w:rPr>
          <w:rFonts w:ascii="Arial" w:cs="Arial" w:eastAsia="Arial" w:hAnsi="Arial"/>
          <w:b w:val="false"/>
          <w:bCs w:val="false"/>
          <w:color w:val="1A1A1A"/>
          <w:sz w:val="24"/>
          <w:szCs w:val="24"/>
        </w:rPr>
        <w:t xml:space="preserve">•  Alternate means of communications with clients, key personnel, employees, vendors, service providers, and regulators;</w:t>
      </w:r>
    </w:p>
    <w:p>
      <w:pPr>
        <w:spacing w:after="60" w:before="60" w:line="276" w:lineRule="auto"/>
        <w:ind w:left="360"/>
      </w:pPr>
      <w:r>
        <w:rPr>
          <w:rFonts w:ascii="Arial" w:cs="Arial" w:eastAsia="Arial" w:hAnsi="Arial"/>
          <w:b w:val="false"/>
          <w:bCs w:val="false"/>
          <w:color w:val="1A1A1A"/>
          <w:sz w:val="24"/>
          <w:szCs w:val="24"/>
        </w:rPr>
        <w:t xml:space="preserve">•  Office relocation in the event of temporary or permanent loss of a principal place of business;</w:t>
      </w:r>
    </w:p>
    <w:p>
      <w:pPr>
        <w:spacing w:after="60" w:before="60" w:line="276" w:lineRule="auto"/>
        <w:ind w:left="360"/>
      </w:pPr>
      <w:r>
        <w:rPr>
          <w:rFonts w:ascii="Arial" w:cs="Arial" w:eastAsia="Arial" w:hAnsi="Arial"/>
          <w:b w:val="false"/>
          <w:bCs w:val="false"/>
          <w:color w:val="1A1A1A"/>
          <w:sz w:val="24"/>
          <w:szCs w:val="24"/>
        </w:rPr>
        <w:t xml:space="preserve">•  Assignment of duties to qualified responsible persons in the event of the death or unavailability of key personnel; and</w:t>
      </w:r>
    </w:p>
    <w:p>
      <w:pPr>
        <w:spacing w:after="60" w:before="60" w:line="276" w:lineRule="auto"/>
        <w:ind w:left="360"/>
      </w:pPr>
      <w:r>
        <w:rPr>
          <w:rFonts w:ascii="Arial" w:cs="Arial" w:eastAsia="Arial" w:hAnsi="Arial"/>
          <w:b w:val="false"/>
          <w:bCs w:val="false"/>
          <w:color w:val="1A1A1A"/>
          <w:sz w:val="24"/>
          <w:szCs w:val="24"/>
        </w:rPr>
        <w:t xml:space="preserve">•  Otherwise, minimize service disruptions and client harm that could result from a sudden significant business interruption.</w:t>
      </w:r>
    </w:p>
    <w:p>
      <w:pPr>
        <w:spacing w:after="120" w:before="120" w:line="276" w:lineRule="auto"/>
        <w:jc w:val="left"/>
      </w:pPr>
      <w:r>
        <w:rPr>
          <w:rFonts w:ascii="Arial" w:cs="Arial" w:eastAsia="Arial" w:hAnsi="Arial"/>
          <w:b w:val="false"/>
          <w:bCs w:val="false"/>
          <w:i w:val="false"/>
          <w:iCs w:val="false"/>
          <w:color w:val="1A1A1A"/>
          <w:sz w:val="24"/>
          <w:szCs w:val="24"/>
        </w:rPr>
        <w:t xml:space="preserve">Although BWP does not maintain custody of client assets, in the event of an SBD, the Advisor will assist clients in accessing their assets at the brokers that have custody of the assets. In the case of an external SBD, the Advisor’s ability to react will depend heavily on access to other organizations and systems, such as electricity, telephones, the internet, and transportation.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In creating this BCP, the Advisor has assumed that the firm’s designated alternate office will be available and that government agencies and market systems are operational during and after the SBD. If any of these assumptions are incorrect, the Advisor’s business could be disrupted until matters are resolved. No contingency plan can eliminate all risk of service interruption, but the Advisor will continue to assess and update its plans to mitigate all reasonable risks.</w:t>
      </w:r>
    </w:p>
    <w:p>
      <w:pPr>
        <w:pBdr>
          <w:bottom w:val="single" w:color="1B3A5C" w:sz="4" w:space="4"/>
        </w:pBdr>
        <w:spacing w:after="160" w:before="360" w:line="276" w:lineRule="auto"/>
      </w:pPr>
      <w:r>
        <w:rPr>
          <w:rFonts w:ascii="Arial" w:cs="Arial" w:eastAsia="Arial" w:hAnsi="Arial"/>
          <w:b/>
          <w:bCs/>
          <w:color w:val="1B3A5C"/>
          <w:sz w:val="32"/>
          <w:szCs w:val="32"/>
        </w:rPr>
        <w:t xml:space="preserve">II. Review, Location, and Disbursement</w:t>
      </w:r>
    </w:p>
    <w:p>
      <w:pPr>
        <w:spacing w:after="120" w:before="280" w:line="276" w:lineRule="auto"/>
      </w:pPr>
      <w:r>
        <w:rPr>
          <w:rFonts w:ascii="Arial" w:cs="Arial" w:eastAsia="Arial" w:hAnsi="Arial"/>
          <w:b/>
          <w:bCs/>
          <w:color w:val="2E6B9E"/>
          <w:sz w:val="28"/>
          <w:szCs w:val="28"/>
        </w:rPr>
        <w:t xml:space="preserve">Review of the Plan</w:t>
      </w:r>
    </w:p>
    <w:p>
      <w:pPr>
        <w:spacing w:after="120" w:before="120" w:line="276" w:lineRule="auto"/>
        <w:jc w:val="left"/>
      </w:pPr>
      <w:r>
        <w:rPr>
          <w:rFonts w:ascii="Arial" w:cs="Arial" w:eastAsia="Arial" w:hAnsi="Arial"/>
          <w:b w:val="false"/>
          <w:bCs w:val="false"/>
          <w:i w:val="false"/>
          <w:iCs w:val="false"/>
          <w:color w:val="1A1A1A"/>
          <w:sz w:val="24"/>
          <w:szCs w:val="24"/>
        </w:rPr>
        <w:t xml:space="preserve">The BCP will be reviewed annually to determine whether any modifications are necessary in light of changes to Advisor’s operations, structure, business or location or new regulatory requirements. A copy of any amendments will be provided to all parties responsible for its execution.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is responsible for approving the plan and for conducting annual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will also test the BCP throughout the year. This may include testing of areas such as: ensuring backups of books and records are functioning; working at the alternate business location; collecting current contact information for employees, clients, and business partners; conducting due diligence of critical vendors; and conforming the firm’s business practices to the BCP and regulatory requirements.</w:t>
      </w:r>
    </w:p>
    <w:p>
      <w:pPr>
        <w:spacing w:after="120" w:before="280" w:line="276" w:lineRule="auto"/>
      </w:pPr>
      <w:r>
        <w:rPr>
          <w:rFonts w:ascii="Arial" w:cs="Arial" w:eastAsia="Arial" w:hAnsi="Arial"/>
          <w:b/>
          <w:bCs/>
          <w:color w:val="2E6B9E"/>
          <w:sz w:val="28"/>
          <w:szCs w:val="28"/>
        </w:rPr>
        <w:t xml:space="preserve">Annual BCP Testing and Documentation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document the results of each annual BCP review and any testing performed. Documentation shall include: (1) the date of the review; (2) the name of the CCO conducting the review; (3) a summary of any changes made to the plan; (4) the results of any BCP tests performed (e.g., backup restoration, alternate office connectivity); and (5) the signature of the CCO attesting to completion of the annual review. Annual BCP review documentation shall be retained in SharePoint under Compliance Records &gt; BCP for a minimum of five (5) years.</w:t>
      </w:r>
    </w:p>
    <w:p>
      <w:pPr>
        <w:spacing w:after="120" w:before="280" w:line="276" w:lineRule="auto"/>
      </w:pPr>
      <w:r>
        <w:rPr>
          <w:rFonts w:ascii="Arial" w:cs="Arial" w:eastAsia="Arial" w:hAnsi="Arial"/>
          <w:b/>
          <w:bCs/>
          <w:color w:val="2E6B9E"/>
          <w:sz w:val="28"/>
          <w:szCs w:val="28"/>
        </w:rPr>
        <w:t xml:space="preserve">Plan Location and 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will maintain copies of its BCP and any revisions made to the plan. The CCO shall provide access to the BCP where employees can access it with or without internet access.</w:t>
      </w:r>
    </w:p>
    <w:p>
      <w:pPr>
        <w:spacing w:after="120" w:before="280" w:line="276" w:lineRule="auto"/>
      </w:pPr>
      <w:r>
        <w:rPr>
          <w:rFonts w:ascii="Arial" w:cs="Arial" w:eastAsia="Arial" w:hAnsi="Arial"/>
          <w:b/>
          <w:bCs/>
          <w:color w:val="2E6B9E"/>
          <w:sz w:val="28"/>
          <w:szCs w:val="28"/>
        </w:rPr>
        <w:t xml:space="preserve">Disbursement of Plan</w:t>
      </w:r>
    </w:p>
    <w:p>
      <w:pPr>
        <w:spacing w:after="120" w:before="120" w:line="276" w:lineRule="auto"/>
        <w:jc w:val="left"/>
      </w:pPr>
      <w:r>
        <w:rPr>
          <w:rFonts w:ascii="Arial" w:cs="Arial" w:eastAsia="Arial" w:hAnsi="Arial"/>
          <w:b w:val="false"/>
          <w:bCs w:val="false"/>
          <w:i w:val="false"/>
          <w:iCs w:val="false"/>
          <w:color w:val="1A1A1A"/>
          <w:sz w:val="24"/>
          <w:szCs w:val="24"/>
        </w:rPr>
        <w:t xml:space="preserve">Any employees critical to the daily functions of the business or who communicate with advisory clients will receive a copy of this BCP upon beginning their employment and sign an attestation of receipt. When the BCP is updated, all applicable employees will review the revised plan and sign a new attestation. The Advisor will periodically train all its employees on the BCP’s requirements, if applicable. All versions of the BCP and attestation shall be maintained for the required time period.</w:t>
      </w:r>
    </w:p>
    <w:p>
      <w:pPr>
        <w:pBdr>
          <w:bottom w:val="single" w:color="1B3A5C" w:sz="4" w:space="4"/>
        </w:pBdr>
        <w:spacing w:after="160" w:before="360" w:line="276" w:lineRule="auto"/>
      </w:pPr>
      <w:r>
        <w:rPr>
          <w:rFonts w:ascii="Arial" w:cs="Arial" w:eastAsia="Arial" w:hAnsi="Arial"/>
          <w:b/>
          <w:bCs/>
          <w:color w:val="1B3A5C"/>
          <w:sz w:val="32"/>
          <w:szCs w:val="32"/>
        </w:rPr>
        <w:t xml:space="preserve">III. 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Our first line of defense is the full complement of insurance that we carry. This has been tailored to protect us from a loss of financial resources in the event of a disaster. BWP carries errors and omissions to protect against financial loss due to client claims and data breaches. Additionally, we have Cyber Liability Insurance, which provides an extra layer of protection over the Errors and Omissions policy in the event of a data breach.</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maintains combined errors and omissions (E&amp;O), cybersecurity, and social engineering insurance coverage of no less than $1,000,000, consistent with BWP’s custodian agreement with Altruist Financial, LLC. The current Certificate of Insurance (COI) is maintained in BWP’s compliance records and is submitted to Altruist annually by December 31.</w:t>
      </w:r>
    </w:p>
    <w:p>
      <w:pPr>
        <w:pBdr>
          <w:bottom w:val="single" w:color="1B3A5C" w:sz="4" w:space="4"/>
        </w:pBdr>
        <w:spacing w:after="160" w:before="360" w:line="276" w:lineRule="auto"/>
      </w:pPr>
      <w:r>
        <w:rPr>
          <w:rFonts w:ascii="Arial" w:cs="Arial" w:eastAsia="Arial" w:hAnsi="Arial"/>
          <w:b/>
          <w:bCs/>
          <w:color w:val="1B3A5C"/>
          <w:sz w:val="32"/>
          <w:szCs w:val="32"/>
        </w:rPr>
        <w:t xml:space="preserve">IV. Alternative Office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Our principal place of business is located at: 203 W Franklin St. Dayton, OH 45459, our “Main Office”. If for any reason, our Main Office could not be accessed, BWP has plans in place in order to ensure we can continue to service clients at an alternative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our alternative location is at the home office of each employee. The alternative office location(s) have been tested to assess if personnel are able to access company and client records at their alternate location(s) and are able to communicate with clients either on a short term or long term basis. Should the Alternative Office location change from temporary to permanent, Advisor will ensure any amendments to its regulatory disclosures including a change of address or the registration of a Branch Office, if required, is filed.</w:t>
      </w:r>
    </w:p>
    <w:p>
      <w:pPr>
        <w:pBdr>
          <w:bottom w:val="single" w:color="1B3A5C" w:sz="4" w:space="4"/>
        </w:pBdr>
        <w:spacing w:after="160" w:before="360" w:line="276" w:lineRule="auto"/>
      </w:pPr>
      <w:r>
        <w:rPr>
          <w:rFonts w:ascii="Arial" w:cs="Arial" w:eastAsia="Arial" w:hAnsi="Arial"/>
          <w:b/>
          <w:bCs/>
          <w:color w:val="1B3A5C"/>
          <w:sz w:val="32"/>
          <w:szCs w:val="32"/>
        </w:rPr>
        <w:t xml:space="preserve">V. Alternative Communication Plans</w:t>
      </w:r>
    </w:p>
    <w:p>
      <w:pPr>
        <w:spacing w:after="120" w:before="280" w:line="276" w:lineRule="auto"/>
      </w:pPr>
      <w:r>
        <w:rPr>
          <w:rFonts w:ascii="Arial" w:cs="Arial" w:eastAsia="Arial" w:hAnsi="Arial"/>
          <w:b/>
          <w:bCs/>
          <w:color w:val="2E6B9E"/>
          <w:sz w:val="28"/>
          <w:szCs w:val="28"/>
        </w:rPr>
        <w:t xml:space="preserve">Advisory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now communicates with clients using telephone, email, U.S. mail, video conference, and in-person visits. In the event of an SBD, Advisor will assess which means of communication are still available, and use the means closest in speed and form (written or oral) to the means that Advisor used in the past to communicate with the other party. For example, if Advisor has primarily communicated with a party by email, but the Internet is unavailable, Advisor will call the client on the telephone and follow up, where a record is needed, with a paper copy in the U.S. mail.</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expected SBD, such as a forecasted storm, Advisor will consider proactively contacting clients (for instance, by email blast) to inform them of what can be expected in case of an extended outage. For example, if clients cannot reach the Advisor, Advisor might instruct them on how they can contact their custodian directly.</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actual SBD, Advisor will notify clients through any of the means mentioned above, should the SBD affect clients. Moreover, if possible, Advisor will also amend their website to notify clients of a SBD and what actions the clients should take.</w:t>
      </w:r>
    </w:p>
    <w:p>
      <w:pPr>
        <w:spacing w:after="120" w:before="280" w:line="276" w:lineRule="auto"/>
      </w:pPr>
      <w:r>
        <w:rPr>
          <w:rFonts w:ascii="Arial" w:cs="Arial" w:eastAsia="Arial" w:hAnsi="Arial"/>
          <w:b/>
          <w:bCs/>
          <w:color w:val="2E6B9E"/>
          <w:sz w:val="28"/>
          <w:szCs w:val="28"/>
        </w:rPr>
        <w:t xml:space="preserve">Employees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shall maintain at least two (2) forms of contact information for all employees. Should Advisor or CCO not be able to reach an employee through one method, the other method will be used.</w:t>
      </w:r>
    </w:p>
    <w:p>
      <w:pPr>
        <w:spacing w:after="120" w:before="280" w:line="276" w:lineRule="auto"/>
      </w:pPr>
      <w:r>
        <w:rPr>
          <w:rFonts w:ascii="Arial" w:cs="Arial" w:eastAsia="Arial" w:hAnsi="Arial"/>
          <w:b/>
          <w:bCs/>
          <w:color w:val="2E6B9E"/>
          <w:sz w:val="28"/>
          <w:szCs w:val="28"/>
        </w:rPr>
        <w:t xml:space="preserve">Regulators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is currently registered as an investment advisory firm with the State of Ohio. Advisor communicates with its regulators using telephone, email, or U.S. mail. In the event of an SBD, Advisor will assess which means of communication are still available, and use the means closest in speed and form (written or oral) to the means that Advisor has used in the past to communicate with the other party, including to make any necessary filings, disclosures, etc.</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Jim Kilgore is responsible for ensuring that the Advisor has access to the Investment Adviser Registration Depository (IARD) system, the electronic filing system that facilitates investment advisor registration, and that all appropriate Form ADV filings, including annual and interim amendments, are made and maintained. In the case of a SBD, Advisor will notify regulators through any of the means mentioned above, if the SBD affects Advisor’s responsibility to make required filings.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 formal or informal inquiry made by any federal or state regulatory agency during an SBD, Jim Kilgore will be responsible for receiving all calls and/or all other requests for further review.</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contact the applicable regulatory division listed in the Critical Contact List (Exhibit A) in the event it cannot continue to operate or is not able to execute this Business Continuity Plan.</w:t>
      </w:r>
    </w:p>
    <w:p>
      <w:pPr>
        <w:spacing w:after="120" w:before="280" w:line="276" w:lineRule="auto"/>
      </w:pPr>
      <w:r>
        <w:rPr>
          <w:rFonts w:ascii="Arial" w:cs="Arial" w:eastAsia="Arial" w:hAnsi="Arial"/>
          <w:b/>
          <w:bCs/>
          <w:color w:val="2E6B9E"/>
          <w:sz w:val="28"/>
          <w:szCs w:val="28"/>
        </w:rPr>
        <w:t xml:space="preserve">Custodians</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and Goldman Sachs Custody Solutions currently hold the funds and/or securities of Advisor’s clients. Advisor currently communicates with these institutions using uploads, telephone, email, and U.S. mail. In the event of an SBD, Advisor will assess which means of communication are still available, and use the means closest in speed and form (written or oral) to the means that Advisor has used in the past to communicate with the custodian.</w:t>
      </w:r>
    </w:p>
    <w:p>
      <w:pPr>
        <w:pBdr>
          <w:bottom w:val="single" w:color="1B3A5C" w:sz="4" w:space="4"/>
        </w:pBdr>
        <w:spacing w:after="160" w:before="360" w:line="276" w:lineRule="auto"/>
      </w:pPr>
      <w:r>
        <w:rPr>
          <w:rFonts w:ascii="Arial" w:cs="Arial" w:eastAsia="Arial" w:hAnsi="Arial"/>
          <w:b/>
          <w:bCs/>
          <w:color w:val="1B3A5C"/>
          <w:sz w:val="32"/>
          <w:szCs w:val="32"/>
        </w:rPr>
        <w:t xml:space="preserve">VI. Data Back-Up and Recovery</w:t>
      </w:r>
    </w:p>
    <w:p>
      <w:pPr>
        <w:spacing w:after="120" w:before="280" w:line="276" w:lineRule="auto"/>
      </w:pPr>
      <w:r>
        <w:rPr>
          <w:rFonts w:ascii="Arial" w:cs="Arial" w:eastAsia="Arial" w:hAnsi="Arial"/>
          <w:b/>
          <w:bCs/>
          <w:color w:val="2E6B9E"/>
          <w:sz w:val="28"/>
          <w:szCs w:val="28"/>
        </w:rPr>
        <w:t xml:space="preserve">Books and Records Maintenance</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maintains its primary books and records in electronic storage. All hard copy records must be scanned in electronic form. Any permanent hard copy records will be held at the principal place of business. Jim Kilgore is responsible for the maintenance of these books and records. Access to records are only provided to personnel on an as-needed basis in order to perform their work functions. Please refer to Advisor’s Cybersecurity &amp; Data Protection Policy Manual that supplements this BCP.</w:t>
      </w:r>
    </w:p>
    <w:p>
      <w:pPr>
        <w:spacing w:after="120" w:before="280" w:line="276" w:lineRule="auto"/>
      </w:pPr>
      <w:r>
        <w:rPr>
          <w:rFonts w:ascii="Arial" w:cs="Arial" w:eastAsia="Arial" w:hAnsi="Arial"/>
          <w:b/>
          <w:bCs/>
          <w:color w:val="2E6B9E"/>
          <w:sz w:val="28"/>
          <w:szCs w:val="28"/>
        </w:rPr>
        <w:t xml:space="preserve">Back-Up</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the Advisor from any secure internet connection.</w:t>
      </w:r>
    </w:p>
    <w:p>
      <w:pPr>
        <w:spacing w:after="120" w:before="280" w:line="276" w:lineRule="auto"/>
      </w:pPr>
      <w:r>
        <w:rPr>
          <w:rFonts w:ascii="Arial" w:cs="Arial" w:eastAsia="Arial" w:hAnsi="Arial"/>
          <w:b/>
          <w:bCs/>
          <w:color w:val="2E6B9E"/>
          <w:sz w:val="28"/>
          <w:szCs w:val="28"/>
        </w:rPr>
        <w:t xml:space="preserve">Recovery Time Objectives (RTOs)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established the following recovery time objectives to guide prioritization of system restoration in the event of an SBD:</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System / Function</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Recovery Time Objective (RTO)</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communications (email, phone)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Custodian portal access (Altruist, Goldman Sachs)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 Wealthbox</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records / SharePoint / OneDrive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planning software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Advisory agreement execution capability</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access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Marketing / website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Internal administrative systems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bl>
    <w:p>
      <w:pPr>
        <w:spacing w:after="0" w:before="0" w:line="240"/>
      </w:pPr>
      <w:r>
        <w:rPr>
          <w:sz w:val="24"/>
          <w:szCs w:val="24"/>
        </w:rPr>
        <w:t xml:space="preserve"/>
      </w:r>
    </w:p>
    <w:p>
      <w:pPr>
        <w:spacing w:after="120" w:before="280" w:line="276" w:lineRule="auto"/>
      </w:pPr>
      <w:r>
        <w:rPr>
          <w:rFonts w:ascii="Arial" w:cs="Arial" w:eastAsia="Arial" w:hAnsi="Arial"/>
          <w:b/>
          <w:bCs/>
          <w:color w:val="2E6B9E"/>
          <w:sz w:val="28"/>
          <w:szCs w:val="28"/>
        </w:rPr>
        <w:t xml:space="preserve">Reliance on Third-Party Vendors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certain third-party vendors that are critical to the operations of the firm. Such critical vendors are listed in the Critical Contact List (Exhibit A). For each critical third-party vendor, BWP will assess their ability to provide continued service. Alternatively, BWP will ensure they have a second option in the event the firm were to switch vendors due to the vendor being unable to operate. Generally, BWP does not utilize any third-party vendors that are so unique that they could not be replaced with a competitor.</w:t>
      </w:r>
    </w:p>
    <w:p>
      <w:pPr>
        <w:spacing w:after="120" w:before="120" w:line="276" w:lineRule="auto"/>
        <w:jc w:val="left"/>
      </w:pPr>
      <w:r>
        <w:rPr>
          <w:rFonts w:ascii="Arial" w:cs="Arial" w:eastAsia="Arial" w:hAnsi="Arial"/>
          <w:b w:val="false"/>
          <w:bCs w:val="false"/>
          <w:i w:val="false"/>
          <w:iCs w:val="false"/>
          <w:color w:val="1A1A1A"/>
          <w:sz w:val="24"/>
          <w:szCs w:val="24"/>
        </w:rPr>
        <w:t xml:space="preserve">We use and may rely on third party vendors for the maintenance of some of our books and records. We ensure that such vendors maintain our records for the required retention period of 5 or more years and that access to these records can be easily retrieved if we terminate our relationship with them.</w:t>
      </w:r>
    </w:p>
    <w:p>
      <w:pPr>
        <w:pBdr>
          <w:bottom w:val="single" w:color="1B3A5C" w:sz="4" w:space="4"/>
        </w:pBdr>
        <w:spacing w:after="160" w:before="360" w:line="276" w:lineRule="auto"/>
      </w:pPr>
      <w:r>
        <w:rPr>
          <w:rFonts w:ascii="Arial" w:cs="Arial" w:eastAsia="Arial" w:hAnsi="Arial"/>
          <w:b/>
          <w:bCs/>
          <w:color w:val="1B3A5C"/>
          <w:sz w:val="32"/>
          <w:szCs w:val="32"/>
        </w:rPr>
        <w:t xml:space="preserve">VII. Client Access to Funds and Securities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does not hold client funds or securities. Client funds and securities are held with Altruist Financial, LLC or Goldman Sachs Custody Solutions. Clients may contact Altruist or Goldman Sachs through its website or by telephone. Altruist or Goldman Sachs can instruct clients how to gain prompt access to their funds and securities, including placing buy or sell orders, issuing checks and wires from their accounts, or transferring funds via pre-established electronic transfer capabilities to client accounts at other institutions.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Advisor will continue to handle client assets as it did before the SBD to the extent possible based on the availability of Altruist or Goldman Sachs platform. Altruist’s or Goldman Sachs’ platform should allow Advisor to continue managing client accounts in the event of an SBD.</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(844) 258-7848. Goldman Sachs Custody Solutions: (800) 621-2550.</w:t>
      </w:r>
    </w:p>
    <w:p>
      <w:pPr>
        <w:pBdr>
          <w:bottom w:val="single" w:color="1B3A5C" w:sz="4" w:space="4"/>
        </w:pBdr>
        <w:spacing w:after="160" w:before="360" w:line="276" w:lineRule="auto"/>
      </w:pPr>
      <w:r>
        <w:rPr>
          <w:rFonts w:ascii="Arial" w:cs="Arial" w:eastAsia="Arial" w:hAnsi="Arial"/>
          <w:b/>
          <w:bCs/>
          <w:color w:val="1B3A5C"/>
          <w:sz w:val="32"/>
          <w:szCs w:val="32"/>
        </w:rPr>
        <w:t xml:space="preserve">VIII. Financial and Operational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perform a financial assessment in determining the appropriate funds required in order to mitigate financial risks to the firm. Factors taken into consideration include obligations to pay providers and/or vendors, meeting the firm’s net worth obligations, if applicable, and refunding clients during periods of a SBD or closure.</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impacting our financial position, we will determine the value and liquidity of our investments and other assets to evaluate our ability to continue to fund our operations and remain in capital compliance. If we determine that we may be unable to meet our financial obligations or otherwise continue to fund our operations, we will request additional financing from our bank or other credit sources to fulfill our obligations to our clients. If we cannot remedy a capital deficiency, we will file appropriate notices with our regulators and amend our regulatory disclosures as required.</w:t>
      </w:r>
    </w:p>
    <w:p>
      <w:pPr>
        <w:pBdr>
          <w:bottom w:val="single" w:color="1B3A5C" w:sz="4" w:space="4"/>
        </w:pBdr>
        <w:spacing w:after="160" w:before="360" w:line="276" w:lineRule="auto"/>
      </w:pPr>
      <w:r>
        <w:rPr>
          <w:rFonts w:ascii="Arial" w:cs="Arial" w:eastAsia="Arial" w:hAnsi="Arial"/>
          <w:b/>
          <w:bCs/>
          <w:color w:val="1B3A5C"/>
          <w:sz w:val="32"/>
          <w:szCs w:val="32"/>
        </w:rPr>
        <w:t xml:space="preserve">IX. Loss of Key Personnel</w:t>
      </w:r>
    </w:p>
    <w:p>
      <w:pPr>
        <w:spacing w:after="120" w:before="120" w:line="276" w:lineRule="auto"/>
        <w:jc w:val="left"/>
      </w:pPr>
      <w:r>
        <w:rPr>
          <w:rFonts w:ascii="Arial" w:cs="Arial" w:eastAsia="Arial" w:hAnsi="Arial"/>
          <w:b w:val="false"/>
          <w:bCs w:val="false"/>
          <w:i w:val="false"/>
          <w:iCs w:val="false"/>
          <w:color w:val="1A1A1A"/>
          <w:sz w:val="24"/>
          <w:szCs w:val="24"/>
        </w:rPr>
        <w:t xml:space="preserve">BWP is a single-member Limited Liability Company owned by Jim Kilgore. As the sole owner, the business depends fully on his capabilities. In the case of Jim Kilgore’s disability, steps will be taken to determine if the business will continue and in what capacity. In the case of Jim Kilgore’s death or incapacity, there is a plan in place of the selling of the business.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designated the following individual(s) to assist with the below steps:</w:t>
      </w:r>
    </w:p>
    <w:p>
      <w:pPr>
        <w:spacing w:after="60" w:before="60" w:line="276" w:lineRule="auto"/>
        <w:ind w:left="360"/>
      </w:pPr>
      <w:r>
        <w:rPr>
          <w:rFonts w:ascii="Arial" w:cs="Arial" w:eastAsia="Arial" w:hAnsi="Arial"/>
          <w:b w:val="false"/>
          <w:bCs w:val="false"/>
          <w:color w:val="1A1A1A"/>
          <w:sz w:val="24"/>
          <w:szCs w:val="24"/>
        </w:rPr>
        <w:t xml:space="preserve">•  Responsible Party: William DeShurko</w:t>
      </w:r>
    </w:p>
    <w:p>
      <w:pPr>
        <w:spacing w:after="120" w:before="120" w:line="276" w:lineRule="auto"/>
        <w:jc w:val="left"/>
      </w:pPr>
      <w:r>
        <w:rPr>
          <w:rFonts w:ascii="Arial" w:cs="Arial" w:eastAsia="Arial" w:hAnsi="Arial"/>
          <w:b w:val="false"/>
          <w:bCs w:val="false"/>
          <w:i w:val="false"/>
          <w:iCs w:val="false"/>
          <w:color w:val="1A1A1A"/>
          <w:sz w:val="24"/>
          <w:szCs w:val="24"/>
        </w:rPr>
        <w:t xml:space="preserve">While not a complete list, the following steps must be completed (not necessarily in this order):</w:t>
      </w:r>
    </w:p>
    <w:p>
      <w:pPr>
        <w:spacing w:after="120" w:before="280" w:line="276" w:lineRule="auto"/>
      </w:pPr>
      <w:r>
        <w:rPr>
          <w:rFonts w:ascii="Arial" w:cs="Arial" w:eastAsia="Arial" w:hAnsi="Arial"/>
          <w:b/>
          <w:bCs/>
          <w:color w:val="2E6B9E"/>
          <w:sz w:val="28"/>
          <w:szCs w:val="28"/>
        </w:rPr>
        <w:t xml:space="preserve">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has trained the Responsible Party on how they can gain access to Client contact information in order to notify clients.</w:t>
      </w:r>
    </w:p>
    <w:p>
      <w:pPr>
        <w:spacing w:after="120" w:before="280" w:line="276" w:lineRule="auto"/>
      </w:pPr>
      <w:r>
        <w:rPr>
          <w:rFonts w:ascii="Arial" w:cs="Arial" w:eastAsia="Arial" w:hAnsi="Arial"/>
          <w:b/>
          <w:bCs/>
          <w:color w:val="2E6B9E"/>
          <w:sz w:val="28"/>
          <w:szCs w:val="28"/>
        </w:rPr>
        <w:t xml:space="preserve">Critical Contacts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cancel all business vendors, subscriptions and other business services where critical business information does not need to be maintained for regulatory reasons. A current, full list of paid service providers is in Exhibit A (Critical Contact List).</w:t>
      </w:r>
    </w:p>
    <w:p>
      <w:pPr>
        <w:spacing w:after="120" w:before="280" w:line="276" w:lineRule="auto"/>
      </w:pPr>
      <w:r>
        <w:rPr>
          <w:rFonts w:ascii="Arial" w:cs="Arial" w:eastAsia="Arial" w:hAnsi="Arial"/>
          <w:b/>
          <w:bCs/>
          <w:color w:val="2E6B9E"/>
          <w:sz w:val="28"/>
          <w:szCs w:val="28"/>
        </w:rPr>
        <w:t xml:space="preserve">Inform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inform all clients of the business’s closure and transfer.</w:t>
      </w:r>
    </w:p>
    <w:p>
      <w:pPr>
        <w:spacing w:after="120" w:before="280" w:line="276" w:lineRule="auto"/>
      </w:pPr>
      <w:r>
        <w:rPr>
          <w:rFonts w:ascii="Arial" w:cs="Arial" w:eastAsia="Arial" w:hAnsi="Arial"/>
          <w:b/>
          <w:bCs/>
          <w:color w:val="2E6B9E"/>
          <w:sz w:val="28"/>
          <w:szCs w:val="28"/>
        </w:rPr>
        <w:t xml:space="preserve">Refund Payments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how to issue refunds to any clients in which the Advisor has collected advance payments but have not yet been earned.</w:t>
      </w:r>
    </w:p>
    <w:p>
      <w:pPr>
        <w:spacing w:after="120" w:before="280" w:line="276" w:lineRule="auto"/>
      </w:pPr>
      <w:r>
        <w:rPr>
          <w:rFonts w:ascii="Arial" w:cs="Arial" w:eastAsia="Arial" w:hAnsi="Arial"/>
          <w:b/>
          <w:bCs/>
          <w:color w:val="2E6B9E"/>
          <w:sz w:val="28"/>
          <w:szCs w:val="28"/>
        </w:rPr>
        <w:t xml:space="preserve">Transitioning Investment Management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Advisor’s custodian(s) to notify them of the SBD and disconnect access to client accounts via LPOA, if applicable.</w:t>
      </w:r>
    </w:p>
    <w:p>
      <w:pPr>
        <w:spacing w:after="120" w:before="280" w:line="276" w:lineRule="auto"/>
      </w:pPr>
      <w:r>
        <w:rPr>
          <w:rFonts w:ascii="Arial" w:cs="Arial" w:eastAsia="Arial" w:hAnsi="Arial"/>
          <w:b/>
          <w:bCs/>
          <w:color w:val="2E6B9E"/>
          <w:sz w:val="28"/>
          <w:szCs w:val="28"/>
        </w:rPr>
        <w:t xml:space="preserve">Assignment of Contracts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Advisory Contracts cannot be assigned without prior Client consent. The Responsible Party will not provide advice or be compensated until the firm is properly registered or notice-filed in all required states and not prior to receiving consent from the client through a newly executed Advisory Contract.</w:t>
      </w:r>
    </w:p>
    <w:p>
      <w:pPr>
        <w:spacing w:after="120" w:before="280" w:line="276" w:lineRule="auto"/>
      </w:pPr>
      <w:r>
        <w:rPr>
          <w:rFonts w:ascii="Arial" w:cs="Arial" w:eastAsia="Arial" w:hAnsi="Arial"/>
          <w:b/>
          <w:bCs/>
          <w:color w:val="2E6B9E"/>
          <w:sz w:val="28"/>
          <w:szCs w:val="28"/>
        </w:rPr>
        <w:t xml:space="preserve">Business Funds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when the Responsible Party can settle/close business accounts, if the Responsible Party should contact a specific accountant, or cancel any subscriptions.</w:t>
      </w:r>
    </w:p>
    <w:p>
      <w:pPr>
        <w:spacing w:after="120" w:before="280" w:line="276" w:lineRule="auto"/>
      </w:pPr>
      <w:r>
        <w:rPr>
          <w:rFonts w:ascii="Arial" w:cs="Arial" w:eastAsia="Arial" w:hAnsi="Arial"/>
          <w:b/>
          <w:bCs/>
          <w:color w:val="2E6B9E"/>
          <w:sz w:val="28"/>
          <w:szCs w:val="28"/>
        </w:rPr>
        <w:t xml:space="preserve">Regulatory Wind Down</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Compliance Team or designated securities counsel to file any necessary regulatory filings such as Form ADV-W and/or Form U-5 with the Ohio Division of Securities and FINRA’s IARD/Web CRD system. Contact information for securities counsel is maintained in Exhibit A (Critical Contact List). [Note: CCO to confirm current compliance vendor or securities counsel for regulatory wind-down filings — to be populated in Exhibit A.]</w:t>
      </w:r>
    </w:p>
    <w:p>
      <w:pPr>
        <w:spacing w:after="120" w:before="280" w:line="276" w:lineRule="auto"/>
      </w:pPr>
      <w:r>
        <w:rPr>
          <w:rFonts w:ascii="Arial" w:cs="Arial" w:eastAsia="Arial" w:hAnsi="Arial"/>
          <w:b/>
          <w:bCs/>
          <w:color w:val="2E6B9E"/>
          <w:sz w:val="28"/>
          <w:szCs w:val="28"/>
        </w:rPr>
        <w:t xml:space="preserve">Books and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download the required Books and Records and maintain for a period of five years.</w:t>
      </w:r>
    </w:p>
    <w:p>
      <w:pPr>
        <w:pBdr>
          <w:bottom w:val="single" w:color="1B3A5C" w:sz="4" w:space="4"/>
        </w:pBdr>
        <w:spacing w:after="160" w:before="360" w:line="276" w:lineRule="auto"/>
      </w:pPr>
      <w:r>
        <w:rPr>
          <w:rFonts w:ascii="Arial" w:cs="Arial" w:eastAsia="Arial" w:hAnsi="Arial"/>
          <w:b/>
          <w:bCs/>
          <w:color w:val="1B3A5C"/>
          <w:sz w:val="32"/>
          <w:szCs w:val="32"/>
        </w:rPr>
        <w:t xml:space="preserve">Business Continuity Plan Attestation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 have been given, have access to, and have read BWP’s Business Continuity Plan.</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Signed: _________________________________________   Date: ____________________</w:t>
      </w:r>
    </w:p>
    <w:p>
      <w:pPr>
        <w:spacing w:after="240" w:before="120"/>
      </w:pPr>
      <w:r>
        <w:rPr>
          <w:rFonts w:ascii="Arial" w:cs="Arial" w:eastAsia="Arial" w:hAnsi="Arial"/>
          <w:color w:val="1A1A1A"/>
          <w:sz w:val="24"/>
          <w:szCs w:val="24"/>
        </w:rPr>
        <w:t xml:space="preserve">Printed Name: _________________________________________</w:t>
      </w:r>
    </w:p>
    <w:p>
      <w:pPr>
        <w:spacing w:after="120" w:before="280" w:line="276" w:lineRule="auto"/>
      </w:pPr>
      <w:r>
        <w:rPr>
          <w:rFonts w:ascii="Arial" w:cs="Arial" w:eastAsia="Arial" w:hAnsi="Arial"/>
          <w:b/>
          <w:bCs/>
          <w:color w:val="2E6B9E"/>
          <w:sz w:val="28"/>
          <w:szCs w:val="28"/>
        </w:rPr>
        <w:t xml:space="preserve">Annual Review Sign-Off — April 2026</w:t>
      </w:r>
    </w:p>
    <w:p>
      <w:pPr>
        <w:spacing w:after="120" w:before="120" w:line="276" w:lineRule="auto"/>
        <w:jc w:val="left"/>
      </w:pPr>
      <w:r>
        <w:rPr>
          <w:rFonts w:ascii="Arial" w:cs="Arial" w:eastAsia="Arial" w:hAnsi="Arial"/>
          <w:b w:val="false"/>
          <w:bCs w:val="false"/>
          <w:i w:val="false"/>
          <w:iCs w:val="false"/>
          <w:color w:val="1A1A1A"/>
          <w:sz w:val="24"/>
          <w:szCs w:val="24"/>
        </w:rPr>
        <w:t xml:space="preserve">I, Jim Kilgore, CCO of Buckeye Wealth Partners LLC, certify that I have reviewed this Business Continuity Plan as of April 13, 2026 and that the plan accurately reflects BWP’s current operations, contact information, and procedures. Changes made in this revision (v.04.2026) include: addition of cybersecurity incident and pandemic as explicit SBD triggers; population of Exhibit A (Critical Contact List) and Exhibit B (Vital Records); addition of Recovery Time Objectives; specification of insurance coverage limits; and addition of annual testing documentation procedures.</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CCO Signature: _________________________________________   Date: ____________________</w:t>
      </w:r>
    </w:p>
    <w:p>
      <w:pPr>
        <w:spacing w:after="240" w:before="120"/>
      </w:pPr>
      <w:r>
        <w:rPr>
          <w:rFonts w:ascii="Arial" w:cs="Arial" w:eastAsia="Arial" w:hAnsi="Arial"/>
          <w:color w:val="1A1A1A"/>
          <w:sz w:val="24"/>
          <w:szCs w:val="24"/>
        </w:rPr>
        <w:t xml:space="preserve">Printed Name: Jim Kilgore, CFP®, CCO</w:t>
      </w:r>
    </w:p>
    <w:p>
      <w:pPr>
        <w:pBdr>
          <w:bottom w:val="single" w:color="1B3A5C" w:sz="6" w:space="2"/>
        </w:pBdr>
        <w:spacing w:after="120" w:before="120"/>
      </w:pPr>
      <w:r>
        <w:t xml:space="preserve"/>
      </w:r>
    </w:p>
    <w:p>
      <w:pPr>
        <w:pBdr>
          <w:bottom w:val="single" w:color="1B3A5C" w:sz="4" w:space="4"/>
        </w:pBdr>
        <w:spacing w:after="160" w:before="360" w:line="276" w:lineRule="auto"/>
      </w:pPr>
      <w:r>
        <w:rPr>
          <w:rFonts w:ascii="Arial" w:cs="Arial" w:eastAsia="Arial" w:hAnsi="Arial"/>
          <w:b/>
          <w:bCs/>
          <w:color w:val="1B3A5C"/>
          <w:sz w:val="32"/>
          <w:szCs w:val="32"/>
        </w:rPr>
        <w:t xml:space="preserve">Exhibit A: Critical Contact List</w:t>
      </w:r>
    </w:p>
    <w:p>
      <w:pPr>
        <w:spacing w:after="120" w:before="120" w:line="276" w:lineRule="auto"/>
        <w:jc w:val="left"/>
      </w:pPr>
      <w:r>
        <w:rPr>
          <w:rFonts w:ascii="Arial" w:cs="Arial" w:eastAsia="Arial" w:hAnsi="Arial"/>
          <w:b w:val="false"/>
          <w:bCs w:val="false"/>
          <w:i w:val="false"/>
          <w:iCs w:val="false"/>
          <w:color w:val="1A1A1A"/>
          <w:sz w:val="24"/>
          <w:szCs w:val="24"/>
        </w:rPr>
        <w:t xml:space="preserve">Last Updated: April 2026  |  Maintained by: Jim Kilgore, CCO</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Organization / Contact</w:t>
            </w:r>
          </w:p>
        </w:tc>
        <w:tc>
          <w:tcPr>
            <w:tcW w:type="dxa" w:w="28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Phone / Contact Info</w:t>
            </w:r>
          </w:p>
        </w:tc>
        <w:tc>
          <w:tcPr>
            <w:tcW w:type="dxa" w:w="34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Role / Purpose</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Financial, LLC</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(844) 258-7848</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Primary Custodian</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Goldman Sachs Custody Solutions</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621-2550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Secondary Custodian</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Ohio Division of Securities</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(614) 644-7381</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State Regulator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Microsoft 365 Support</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642-7676</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Technology / Email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Wealthbox CRM</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support@wealthbox.com</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Provider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Provider</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E&amp;O / Cyber / Social Engineering</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Securities Counsel</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Regulatory Wind-Down / Legal</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Jim Kilgore (Emergency)</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(937) 434-1790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CCO / Principal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William DeShurko (Emergency)</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Responsible Party / IAR</w:t>
            </w:r>
          </w:p>
        </w:tc>
      </w:tr>
    </w:tbl>
    <w:p>
      <w:pPr>
        <w:spacing w:after="0" w:before="0" w:line="240"/>
      </w:pPr>
      <w:r>
        <w:rPr>
          <w:sz w:val="24"/>
          <w:szCs w:val="24"/>
        </w:rPr>
        <w:t xml:space="preserve"/>
      </w:r>
    </w:p>
    <w:p>
      <w:pPr>
        <w:pBdr>
          <w:bottom w:val="single" w:color="1B3A5C" w:sz="6" w:space="2"/>
        </w:pBdr>
        <w:spacing w:after="120" w:before="120"/>
      </w:pPr>
      <w:r>
        <w:t xml:space="preserve"/>
      </w:r>
    </w:p>
    <w:p>
      <w:pPr>
        <w:pBdr>
          <w:bottom w:val="single" w:color="1B3A5C" w:sz="4" w:space="4"/>
        </w:pBdr>
        <w:spacing w:after="160" w:before="360" w:line="276" w:lineRule="auto"/>
      </w:pPr>
      <w:r>
        <w:rPr>
          <w:rFonts w:ascii="Arial" w:cs="Arial" w:eastAsia="Arial" w:hAnsi="Arial"/>
          <w:b/>
          <w:bCs/>
          <w:color w:val="1B3A5C"/>
          <w:sz w:val="32"/>
          <w:szCs w:val="32"/>
        </w:rPr>
        <w:t xml:space="preserve">Exhibit B: List of Vital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Note: All records must be maintained for a minimum period of 5 years from the date of last entry. Primary storage is OneDrive/SharePoint unless otherwise noted. Backup: All records backed up to OneDrive cloud storage on a daily basis.</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Record Type</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Storage Location</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advisory agreements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Form ADV and all amendments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IARD system + 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account records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custodian portal + Goldman Sachs custodian portal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(policies, reviews, training logs)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Wealthbox CRM</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Tax records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policies and COIs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Corporate formation documents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BCP and annual review attestations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 – Compliance Records &gt; BCP</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Employee records and training attestations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Books and records — general backup</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OneDrive cloud (daily automated backup)</w:t>
            </w:r>
          </w:p>
        </w:tc>
      </w:tr>
    </w:tbl>
    <w:p>
      <w:pPr>
        <w:spacing w:after="0" w:before="0" w:line="240"/>
      </w:pPr>
      <w:r>
        <w:rPr>
          <w:sz w:val="24"/>
          <w:szCs w:val="24"/>
        </w:rPr>
        <w:t xml:space="preserve"/>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1301:6-3-44(H) — Annual review required.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Business Continuity Plan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2026-04-13T13:47:15.163Z</dcterms:created>
  <dcterms:modified xsi:type="dcterms:W3CDTF">2026-04-13T13:47:15.163Z</dcterms:modified>
</cp:coreProperties>
</file>

<file path=docProps/custom.xml><?xml version="1.0" encoding="utf-8"?>
<Properties xmlns="http://schemas.openxmlformats.org/officeDocument/2006/custom-properties" xmlns:vt="http://schemas.openxmlformats.org/officeDocument/2006/docPropsVTypes"/>
</file>