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5C"/>
          <w:sz w:val="36"/>
          <w:szCs w:val="36"/>
        </w:rPr>
        <w:t xml:space="preserve">BUCKEYE WEALTH PARTNERS LLC</w:t>
      </w:r>
    </w:p>
    <w:p>
      <w:pPr>
        <w:spacing w:after="200"/>
        <w:jc w:val="center"/>
      </w:pPr>
      <w:r>
        <w:rPr>
          <w:rFonts w:ascii="Arial" w:cs="Arial" w:eastAsia="Arial" w:hAnsi="Arial"/>
          <w:b/>
          <w:bCs/>
          <w:color w:val="1B3A5C"/>
          <w:sz w:val="32"/>
          <w:szCs w:val="32"/>
        </w:rPr>
        <w:t xml:space="preserve">Investment Policy Statement</w:t>
      </w:r>
    </w:p>
    <w:p>
      <w:pPr>
        <w:spacing w:after="160"/>
        <w:jc w:val="center"/>
      </w:pPr>
      <w:r>
        <w:rPr>
          <w:rFonts w:ascii="Arial" w:cs="Arial" w:eastAsia="Arial" w:hAnsi="Arial"/>
          <w:b/>
          <w:bCs/>
          <w:color w:val="1B3A5C"/>
          <w:sz w:val="28"/>
          <w:szCs w:val="28"/>
        </w:rPr>
        <w:t xml:space="preserve">("IPS")</w:t>
      </w:r>
    </w:p>
    <w:p>
      <w:pPr>
        <w:spacing w:after="200"/>
        <w:jc w:val="center"/>
      </w:pPr>
      <w:r>
        <w:rPr>
          <w:rFonts w:ascii="Arial" w:cs="Arial" w:eastAsia="Arial" w:hAnsi="Arial"/>
          <w:color w:val="666666"/>
          <w:sz w:val="24"/>
          <w:szCs w:val="24"/>
        </w:rPr>
        <w:t xml:space="preserve">Version: v.04.2026  |  Effective Date: April 13, 2026</w:t>
      </w:r>
    </w:p>
    <w:p>
      <w:pPr>
        <w:pBdr>
          <w:bottom w:color="CCCCCC" w:sz="6" w:space="1"/>
        </w:pBdr>
        <w:spacing w:after="160" w:before="160"/>
      </w:pPr>
    </w:p>
    <w:p>
      <w:pPr>
        <w:spacing w:after="120" w:before="480"/>
        <w:jc w:val="center"/>
      </w:pPr>
      <w:r>
        <w:rPr>
          <w:rFonts w:ascii="Arial" w:cs="Arial" w:eastAsia="Arial" w:hAnsi="Arial"/>
          <w:i/>
          <w:iCs/>
          <w:color w:val="666666"/>
          <w:sz w:val="24"/>
          <w:szCs w:val="24"/>
        </w:rPr>
        <w:t xml:space="preserve">Prepared for</w:t>
      </w:r>
    </w:p>
    <w:p>
      <w:pPr>
        <w:spacing w:after="120"/>
        <w:jc w:val="center"/>
      </w:pPr>
      <w:r>
        <w:rPr>
          <w:rFonts w:ascii="Arial" w:cs="Arial" w:eastAsia="Arial" w:hAnsi="Arial"/>
          <w:b/>
          <w:bCs/>
          <w:color w:val="1B3A5C"/>
          <w:sz w:val="28"/>
          <w:szCs w:val="28"/>
        </w:rPr>
        <w:t xml:space="preserve">[Client Name]</w:t>
      </w:r>
    </w:p>
    <w:p>
      <w:pPr>
        <w:spacing w:after="120"/>
        <w:jc w:val="center"/>
      </w:pPr>
      <w:r>
        <w:rPr>
          <w:rFonts w:ascii="Arial" w:cs="Arial" w:eastAsia="Arial" w:hAnsi="Arial"/>
          <w:color w:val="666666"/>
          <w:sz w:val="24"/>
          <w:szCs w:val="24"/>
        </w:rPr>
        <w:t xml:space="preserve">("Client")</w:t>
      </w:r>
    </w:p>
    <w:p>
      <w:pPr>
        <w:spacing w:after="120" w:before="240"/>
        <w:jc w:val="center"/>
      </w:pPr>
      <w:r>
        <w:rPr>
          <w:rFonts w:ascii="Arial" w:cs="Arial" w:eastAsia="Arial" w:hAnsi="Arial"/>
          <w:i/>
          <w:iCs/>
          <w:color w:val="666666"/>
          <w:sz w:val="24"/>
          <w:szCs w:val="24"/>
        </w:rPr>
        <w:t xml:space="preserve">Prepared by</w:t>
      </w:r>
    </w:p>
    <w:p>
      <w:pPr>
        <w:spacing w:after="120"/>
        <w:jc w:val="center"/>
      </w:pPr>
      <w:r>
        <w:rPr>
          <w:rFonts w:ascii="Arial" w:cs="Arial" w:eastAsia="Arial" w:hAnsi="Arial"/>
          <w:b/>
          <w:bCs/>
          <w:color w:val="1B3A5C"/>
          <w:sz w:val="28"/>
          <w:szCs w:val="28"/>
        </w:rPr>
        <w:t xml:space="preserve">Buckeye Wealth Partners, LLC</w:t>
      </w:r>
    </w:p>
    <w:p>
      <w:pPr>
        <w:spacing w:after="120"/>
        <w:jc w:val="center"/>
      </w:pPr>
      <w:r>
        <w:rPr>
          <w:rFonts w:ascii="Arial" w:cs="Arial" w:eastAsia="Arial" w:hAnsi="Arial"/>
          <w:color w:val="666666"/>
          <w:sz w:val="24"/>
          <w:szCs w:val="24"/>
        </w:rPr>
        <w:t xml:space="preserve">("Advisor")</w:t>
      </w:r>
    </w:p>
    <w:p>
      <w:pPr>
        <w:spacing w:after="120" w:before="240"/>
        <w:jc w:val="center"/>
      </w:pPr>
      <w:r>
        <w:rPr>
          <w:rFonts w:ascii="Arial" w:cs="Arial" w:eastAsia="Arial" w:hAnsi="Arial"/>
          <w:color w:val="666666"/>
          <w:sz w:val="24"/>
          <w:szCs w:val="24"/>
        </w:rPr>
        <w:t xml:space="preserve">As of: [Date]</w:t>
      </w:r>
    </w:p>
    <w:p>
      <w:pPr>
        <w:spacing w:after="240" w:before="360"/>
        <w:jc w:val="center"/>
      </w:pPr>
      <w:r>
        <w:rPr>
          <w:rFonts w:ascii="Arial" w:cs="Arial" w:eastAsia="Arial" w:hAnsi="Arial"/>
          <w:color w:val="666666"/>
          <w:sz w:val="20"/>
          <w:szCs w:val="20"/>
        </w:rPr>
        <w:t xml:space="preserve">203 W Franklin St, Dayton, OH 45459  |  (937) 434-1790  |  CRD# 126428</w:t>
      </w:r>
    </w:p>
    <w:p>
      <w:r>
        <w:br w:type="page"/>
      </w:r>
    </w:p>
    <w:p>
      <w:pPr>
        <w:pStyle w:val="Heading1"/>
        <w:spacing w:after="160" w:before="360"/>
      </w:pPr>
      <w:r>
        <w:rPr>
          <w:rFonts w:ascii="Arial" w:cs="Arial" w:eastAsia="Arial" w:hAnsi="Arial"/>
          <w:b/>
          <w:bCs/>
          <w:color w:val="1B3A5C"/>
          <w:sz w:val="32"/>
          <w:szCs w:val="32"/>
        </w:rPr>
        <w:t xml:space="preserve">Purpose and Governing Statement</w:t>
      </w:r>
    </w:p>
    <w:p>
      <w:pPr>
        <w:spacing w:after="120" w:line="276" w:lineRule="auto"/>
      </w:pPr>
      <w:r>
        <w:rPr>
          <w:rFonts w:ascii="Arial" w:cs="Arial" w:eastAsia="Arial" w:hAnsi="Arial"/>
          <w:color w:val="1A1A1A"/>
          <w:sz w:val="24"/>
          <w:szCs w:val="24"/>
        </w:rPr>
        <w:t xml:space="preserve">This Investment Policy Statement (“IPS”) establishes a clear understanding between Client and Advisor of the investment goals, strategy, and responsibilities governing the advisory relationship.</w:t>
      </w:r>
    </w:p>
    <w:p>
      <w:pPr>
        <w:spacing w:after="120" w:line="276" w:lineRule="auto"/>
      </w:pPr>
      <w:r>
        <w:rPr>
          <w:rFonts w:ascii="Arial" w:cs="Arial" w:eastAsia="Arial" w:hAnsi="Arial"/>
          <w:color w:val="1A1A1A"/>
          <w:sz w:val="24"/>
          <w:szCs w:val="24"/>
        </w:rPr>
        <w:t xml:space="preserve">This Investment Policy Statement is a planning document and does not constitute a binding contract. The Client’s Advisory Agreement governs the terms of the advisory relationship.</w:t>
      </w:r>
    </w:p>
    <w:p>
      <w:pPr>
        <w:pStyle w:val="Heading1"/>
        <w:spacing w:after="160" w:before="360"/>
      </w:pPr>
      <w:r>
        <w:rPr>
          <w:rFonts w:ascii="Arial" w:cs="Arial" w:eastAsia="Arial" w:hAnsi="Arial"/>
          <w:b/>
          <w:bCs/>
          <w:color w:val="1B3A5C"/>
          <w:sz w:val="32"/>
          <w:szCs w:val="32"/>
        </w:rPr>
        <w:t xml:space="preserve">Client Information</w:t>
      </w:r>
    </w:p>
    <w:p>
      <w:pPr>
        <w:spacing w:after="120" w:line="276" w:lineRule="auto"/>
      </w:pPr>
      <w:r>
        <w:rPr>
          <w:rFonts w:ascii="Arial" w:cs="Arial" w:eastAsia="Arial" w:hAnsi="Arial"/>
          <w:b/>
          <w:bCs/>
          <w:color w:val="1A1A1A"/>
          <w:sz w:val="24"/>
          <w:szCs w:val="24"/>
        </w:rPr>
        <w:t xml:space="preserve">Client Name(s):  </w:t>
      </w:r>
      <w:r>
        <w:rPr>
          <w:rFonts w:ascii="Arial" w:cs="Arial" w:eastAsia="Arial" w:hAnsi="Arial"/>
          <w:color w:val="1A1A1A"/>
          <w:sz w:val="24"/>
          <w:szCs w:val="24"/>
          <w:u w:val="single"/>
        </w:rPr>
        <w:t xml:space="preserve">[Client(s) Name]</w:t>
      </w:r>
    </w:p>
    <w:p>
      <w:pPr>
        <w:spacing w:after="120" w:line="276" w:lineRule="auto"/>
      </w:pPr>
      <w:r>
        <w:rPr>
          <w:rFonts w:ascii="Arial" w:cs="Arial" w:eastAsia="Arial" w:hAnsi="Arial"/>
          <w:b/>
          <w:bCs/>
          <w:color w:val="1A1A1A"/>
          <w:sz w:val="24"/>
          <w:szCs w:val="24"/>
        </w:rPr>
        <w:t xml:space="preserve">Account Name:  </w:t>
      </w:r>
      <w:r>
        <w:rPr>
          <w:rFonts w:ascii="Arial" w:cs="Arial" w:eastAsia="Arial" w:hAnsi="Arial"/>
          <w:color w:val="1A1A1A"/>
          <w:sz w:val="24"/>
          <w:szCs w:val="24"/>
          <w:u w:val="single"/>
        </w:rPr>
        <w:t xml:space="preserve">[Account Name]</w:t>
      </w:r>
    </w:p>
    <w:p>
      <w:pPr>
        <w:spacing w:after="120" w:line="276" w:lineRule="auto"/>
      </w:pPr>
      <w:r>
        <w:rPr>
          <w:rFonts w:ascii="Arial" w:cs="Arial" w:eastAsia="Arial" w:hAnsi="Arial"/>
          <w:b/>
          <w:bCs/>
          <w:color w:val="1A1A1A"/>
          <w:sz w:val="24"/>
          <w:szCs w:val="24"/>
        </w:rPr>
        <w:t xml:space="preserve">Approximate Total Assets:  </w:t>
      </w:r>
      <w:r>
        <w:rPr>
          <w:rFonts w:ascii="Arial" w:cs="Arial" w:eastAsia="Arial" w:hAnsi="Arial"/>
          <w:color w:val="1A1A1A"/>
          <w:sz w:val="24"/>
          <w:szCs w:val="24"/>
          <w:u w:val="single"/>
        </w:rPr>
        <w:t xml:space="preserve">$</w:t>
      </w:r>
    </w:p>
    <w:p>
      <w:pPr>
        <w:spacing w:after="120" w:line="276" w:lineRule="auto"/>
      </w:pPr>
      <w:r>
        <w:rPr>
          <w:rFonts w:ascii="Arial" w:cs="Arial" w:eastAsia="Arial" w:hAnsi="Arial"/>
          <w:b/>
          <w:bCs/>
          <w:color w:val="1A1A1A"/>
          <w:sz w:val="24"/>
          <w:szCs w:val="24"/>
        </w:rPr>
        <w:t xml:space="preserve">Investment Objective:  </w:t>
      </w:r>
      <w:r>
        <w:rPr>
          <w:rFonts w:ascii="Arial" w:cs="Arial" w:eastAsia="Arial" w:hAnsi="Arial"/>
          <w:color w:val="1A1A1A"/>
          <w:sz w:val="24"/>
          <w:szCs w:val="24"/>
          <w:u w:val="single"/>
        </w:rPr>
        <w:t xml:space="preserve">[e.g., Growth, Income, Capital Preservation, Balanced]</w:t>
      </w:r>
    </w:p>
    <w:p>
      <w:pPr>
        <w:spacing w:after="120" w:line="276" w:lineRule="auto"/>
      </w:pPr>
      <w:r>
        <w:rPr>
          <w:rFonts w:ascii="Arial" w:cs="Arial" w:eastAsia="Arial" w:hAnsi="Arial"/>
          <w:b/>
          <w:bCs/>
          <w:color w:val="1A1A1A"/>
          <w:sz w:val="24"/>
          <w:szCs w:val="24"/>
        </w:rPr>
        <w:t xml:space="preserve">Tax Status:  </w:t>
      </w:r>
      <w:r>
        <w:rPr>
          <w:rFonts w:ascii="Arial" w:cs="Arial" w:eastAsia="Arial" w:hAnsi="Arial"/>
          <w:color w:val="1A1A1A"/>
          <w:sz w:val="24"/>
          <w:szCs w:val="24"/>
          <w:u w:val="single"/>
        </w:rPr>
        <w:t xml:space="preserve">[Taxable / Tax-Deferred / Tax-Exempt]</w:t>
      </w:r>
    </w:p>
    <w:p>
      <w:pPr>
        <w:spacing w:after="120" w:line="276" w:lineRule="auto"/>
      </w:pPr>
      <w:r>
        <w:rPr>
          <w:rFonts w:ascii="Arial" w:cs="Arial" w:eastAsia="Arial" w:hAnsi="Arial"/>
          <w:b/>
          <w:bCs/>
          <w:color w:val="1A1A1A"/>
          <w:sz w:val="24"/>
          <w:szCs w:val="24"/>
        </w:rPr>
        <w:t xml:space="preserve">Tax Considerations:  </w:t>
      </w:r>
      <w:r>
        <w:rPr>
          <w:rFonts w:ascii="Arial" w:cs="Arial" w:eastAsia="Arial" w:hAnsi="Arial"/>
          <w:color w:val="1A1A1A"/>
          <w:sz w:val="24"/>
          <w:szCs w:val="24"/>
          <w:u w:val="single"/>
        </w:rPr>
        <w:t xml:space="preserve"/>
      </w:r>
    </w:p>
    <w:p>
      <w:pPr>
        <w:spacing w:after="120" w:line="276" w:lineRule="auto"/>
      </w:pPr>
      <w:r>
        <w:rPr>
          <w:rFonts w:ascii="Arial" w:cs="Arial" w:eastAsia="Arial" w:hAnsi="Arial"/>
          <w:b/>
          <w:bCs/>
          <w:color w:val="1A1A1A"/>
          <w:sz w:val="24"/>
          <w:szCs w:val="24"/>
        </w:rPr>
        <w:t xml:space="preserve">Liquidity Needs:  </w:t>
      </w:r>
      <w:r>
        <w:rPr>
          <w:rFonts w:ascii="Arial" w:cs="Arial" w:eastAsia="Arial" w:hAnsi="Arial"/>
          <w:color w:val="1A1A1A"/>
          <w:sz w:val="24"/>
          <w:szCs w:val="24"/>
          <w:u w:val="single"/>
        </w:rPr>
        <w:t xml:space="preserve">[None / Specify]</w:t>
      </w:r>
    </w:p>
    <w:p>
      <w:pPr>
        <w:spacing w:after="120" w:line="276" w:lineRule="auto"/>
      </w:pPr>
      <w:r>
        <w:rPr>
          <w:rFonts w:ascii="Arial" w:cs="Arial" w:eastAsia="Arial" w:hAnsi="Arial"/>
          <w:b/>
          <w:bCs/>
          <w:color w:val="1A1A1A"/>
          <w:sz w:val="24"/>
          <w:szCs w:val="24"/>
        </w:rPr>
        <w:t xml:space="preserve">Special Instructions:  </w:t>
      </w:r>
      <w:r>
        <w:rPr>
          <w:rFonts w:ascii="Arial" w:cs="Arial" w:eastAsia="Arial" w:hAnsi="Arial"/>
          <w:color w:val="1A1A1A"/>
          <w:sz w:val="24"/>
          <w:szCs w:val="24"/>
          <w:u w:val="single"/>
        </w:rPr>
        <w:t xml:space="preserve">[None / Specify]</w:t>
      </w:r>
    </w:p>
    <w:p>
      <w:pPr>
        <w:spacing w:after="120" w:line="276" w:lineRule="auto"/>
      </w:pPr>
      <w:r>
        <w:rPr>
          <w:rFonts w:ascii="Arial" w:cs="Arial" w:eastAsia="Arial" w:hAnsi="Arial"/>
          <w:b/>
          <w:bCs/>
          <w:color w:val="1A1A1A"/>
          <w:sz w:val="24"/>
          <w:szCs w:val="24"/>
        </w:rPr>
        <w:t xml:space="preserve">Restrictions:  </w:t>
      </w:r>
      <w:r>
        <w:rPr>
          <w:rFonts w:ascii="Arial" w:cs="Arial" w:eastAsia="Arial" w:hAnsi="Arial"/>
          <w:color w:val="1A1A1A"/>
          <w:sz w:val="24"/>
          <w:szCs w:val="24"/>
          <w:u w:val="single"/>
        </w:rPr>
        <w:t xml:space="preserve">[None / Specify]</w:t>
      </w:r>
    </w:p>
    <w:p>
      <w:pPr>
        <w:pStyle w:val="Heading1"/>
        <w:spacing w:after="160" w:before="360"/>
      </w:pPr>
      <w:r>
        <w:rPr>
          <w:rFonts w:ascii="Arial" w:cs="Arial" w:eastAsia="Arial" w:hAnsi="Arial"/>
          <w:b/>
          <w:bCs/>
          <w:color w:val="1B3A5C"/>
          <w:sz w:val="32"/>
          <w:szCs w:val="32"/>
        </w:rPr>
        <w:t xml:space="preserve">Risk Profile</w:t>
      </w:r>
    </w:p>
    <w:p>
      <w:pPr>
        <w:spacing w:after="120" w:line="276" w:lineRule="auto"/>
      </w:pPr>
      <w:r>
        <w:rPr>
          <w:rFonts w:ascii="Arial" w:cs="Arial" w:eastAsia="Arial" w:hAnsi="Arial"/>
          <w:b/>
          <w:bCs/>
          <w:color w:val="1A1A1A"/>
          <w:sz w:val="24"/>
          <w:szCs w:val="24"/>
        </w:rPr>
        <w:t xml:space="preserve">Risk Tolerance:  </w:t>
      </w:r>
      <w:r>
        <w:rPr>
          <w:rFonts w:ascii="Arial" w:cs="Arial" w:eastAsia="Arial" w:hAnsi="Arial"/>
          <w:color w:val="1A1A1A"/>
          <w:sz w:val="24"/>
          <w:szCs w:val="24"/>
          <w:u w:val="single"/>
        </w:rPr>
        <w:t xml:space="preserve">[Conservative / Moderate / Aggressive]</w:t>
      </w:r>
    </w:p>
    <w:p>
      <w:pPr>
        <w:spacing w:after="120" w:line="276" w:lineRule="auto"/>
      </w:pPr>
      <w:r>
        <w:rPr>
          <w:rFonts w:ascii="Arial" w:cs="Arial" w:eastAsia="Arial" w:hAnsi="Arial"/>
          <w:b/>
          <w:bCs/>
          <w:color w:val="1A1A1A"/>
          <w:sz w:val="24"/>
          <w:szCs w:val="24"/>
        </w:rPr>
        <w:t xml:space="preserve">Time Horizon:  </w:t>
      </w:r>
      <w:r>
        <w:rPr>
          <w:rFonts w:ascii="Arial" w:cs="Arial" w:eastAsia="Arial" w:hAnsi="Arial"/>
          <w:color w:val="1A1A1A"/>
          <w:sz w:val="24"/>
          <w:szCs w:val="24"/>
          <w:u w:val="single"/>
        </w:rPr>
        <w:t xml:space="preserve">[Short-term (&lt;3 yrs) / Medium-term (3-10 yrs) / Long-term (&gt;10 yrs)]</w:t>
      </w:r>
    </w:p>
    <w:p>
      <w:pPr>
        <w:spacing w:after="120" w:line="276" w:lineRule="auto"/>
      </w:pPr>
      <w:r>
        <w:rPr>
          <w:rFonts w:ascii="Arial" w:cs="Arial" w:eastAsia="Arial" w:hAnsi="Arial"/>
          <w:color w:val="1A1A1A"/>
          <w:sz w:val="24"/>
          <w:szCs w:val="24"/>
        </w:rPr>
        <w:t xml:space="preserve">Risk tolerance is assessed using a combination of a structured risk questionnaire, personal interview, and review of the Client’s investment experience, time horizon, and financial objectives.</w:t>
      </w:r>
    </w:p>
    <w:p>
      <w:pPr>
        <w:pStyle w:val="Heading1"/>
        <w:spacing w:after="160" w:before="360"/>
      </w:pPr>
      <w:r>
        <w:rPr>
          <w:rFonts w:ascii="Arial" w:cs="Arial" w:eastAsia="Arial" w:hAnsi="Arial"/>
          <w:b/>
          <w:bCs/>
          <w:color w:val="1B3A5C"/>
          <w:sz w:val="32"/>
          <w:szCs w:val="32"/>
        </w:rPr>
        <w:t xml:space="preserve">Target Asset Allocation</w:t>
      </w:r>
    </w:p>
    <w:p>
      <w:pPr>
        <w:spacing w:after="120" w:line="276" w:lineRule="auto"/>
      </w:pPr>
      <w:r>
        <w:rPr>
          <w:rFonts w:ascii="Arial" w:cs="Arial" w:eastAsia="Arial" w:hAnsi="Arial"/>
          <w:color w:val="1A1A1A"/>
          <w:sz w:val="24"/>
          <w:szCs w:val="24"/>
        </w:rPr>
        <w:t xml:space="preserve">The following target allocation has been established based on the Client’s investment objective, risk tolerance, and time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5C" w:val="solid"/>
            <w:tcMar>
              <w:top w:type="dxa" w:w="60"/>
              <w:left w:type="dxa" w:w="100"/>
              <w:bottom w:type="dxa" w:w="60"/>
              <w:right w:type="dxa" w:w="100"/>
            </w:tcMar>
          </w:tcPr>
          <w:p>
            <w:r>
              <w:rPr>
                <w:rFonts w:ascii="Arial" w:cs="Arial" w:eastAsia="Arial" w:hAnsi="Arial"/>
                <w:b/>
                <w:bCs/>
                <w:color w:val="FFFFFF"/>
                <w:sz w:val="24"/>
                <w:szCs w:val="24"/>
              </w:rPr>
              <w:t xml:space="preserve">Asset Class</w:t>
            </w:r>
          </w:p>
        </w:tc>
        <w:tc>
          <w:tcPr>
            <w:shd w:fill="1B3A5C" w:val="solid"/>
            <w:tcMar>
              <w:top w:type="dxa" w:w="60"/>
              <w:left w:type="dxa" w:w="100"/>
              <w:bottom w:type="dxa" w:w="60"/>
              <w:right w:type="dxa" w:w="100"/>
            </w:tcMar>
          </w:tcPr>
          <w:p>
            <w:r>
              <w:rPr>
                <w:rFonts w:ascii="Arial" w:cs="Arial" w:eastAsia="Arial" w:hAnsi="Arial"/>
                <w:b/>
                <w:bCs/>
                <w:color w:val="FFFFFF"/>
                <w:sz w:val="24"/>
                <w:szCs w:val="24"/>
              </w:rPr>
              <w:t xml:space="preserve">Target Allocation</w:t>
            </w:r>
          </w:p>
        </w:tc>
        <w:tc>
          <w:tcPr>
            <w:shd w:fill="1B3A5C" w:val="solid"/>
            <w:tcMar>
              <w:top w:type="dxa" w:w="60"/>
              <w:left w:type="dxa" w:w="100"/>
              <w:bottom w:type="dxa" w:w="60"/>
              <w:right w:type="dxa" w:w="100"/>
            </w:tcMar>
          </w:tcPr>
          <w:p>
            <w:r>
              <w:rPr>
                <w:rFonts w:ascii="Arial" w:cs="Arial" w:eastAsia="Arial" w:hAnsi="Arial"/>
                <w:b/>
                <w:bCs/>
                <w:color w:val="FFFFFF"/>
                <w:sz w:val="24"/>
                <w:szCs w:val="24"/>
              </w:rPr>
              <w:t xml:space="preserve">Additional Comments</w:t>
            </w:r>
          </w:p>
        </w:tc>
      </w:tr>
      <w:tr>
        <w:tc>
          <w:tcPr>
            <w:shd w:fill="F5F7FA" w:val="solid"/>
            <w:tcMar>
              <w:top w:type="dxa" w:w="60"/>
              <w:left w:type="dxa" w:w="100"/>
              <w:bottom w:type="dxa" w:w="60"/>
              <w:right w:type="dxa" w:w="100"/>
            </w:tcMar>
          </w:tcPr>
          <w:p>
            <w:r>
              <w:rPr>
                <w:rFonts w:ascii="Arial" w:cs="Arial" w:eastAsia="Arial" w:hAnsi="Arial"/>
                <w:color w:val="1A1A1A"/>
                <w:sz w:val="24"/>
                <w:szCs w:val="24"/>
              </w:rPr>
              <w:t xml:space="preserve">Equity</w:t>
            </w:r>
          </w:p>
        </w:tc>
        <w:tc>
          <w:tcPr>
            <w:shd w:fill="F5F7FA" w:val="solid"/>
            <w:tcMar>
              <w:top w:type="dxa" w:w="60"/>
              <w:left w:type="dxa" w:w="100"/>
              <w:bottom w:type="dxa" w:w="60"/>
              <w:right w:type="dxa" w:w="100"/>
            </w:tcMar>
          </w:tcPr>
          <w:p>
            <w:r>
              <w:rPr>
                <w:rFonts w:ascii="Arial" w:cs="Arial" w:eastAsia="Arial" w:hAnsi="Arial"/>
                <w:color w:val="1A1A1A"/>
                <w:sz w:val="24"/>
                <w:szCs w:val="24"/>
              </w:rPr>
              <w:t xml:space="preserve">________</w:t>
            </w:r>
          </w:p>
        </w:tc>
        <w:tc>
          <w:tcPr>
            <w:shd w:fill="F5F7FA" w:val="solid"/>
            <w:tcMar>
              <w:top w:type="dxa" w:w="60"/>
              <w:left w:type="dxa" w:w="100"/>
              <w:bottom w:type="dxa" w:w="60"/>
              <w:right w:type="dxa" w:w="100"/>
            </w:tcMar>
          </w:tcPr>
          <w:p>
            <w:r>
              <w:rPr>
                <w:rFonts w:ascii="Arial" w:cs="Arial" w:eastAsia="Arial" w:hAnsi="Arial"/>
                <w:color w:val="1A1A1A"/>
                <w:sz w:val="24"/>
                <w:szCs w:val="24"/>
              </w:rPr>
              <w:t xml:space="preserve"/>
            </w:r>
          </w:p>
        </w:tc>
      </w:tr>
      <w:tr>
        <w:tc>
          <w:tcPr>
            <w:shd w:fill="FFFFFF" w:val="solid"/>
            <w:tcMar>
              <w:top w:type="dxa" w:w="60"/>
              <w:left w:type="dxa" w:w="100"/>
              <w:bottom w:type="dxa" w:w="60"/>
              <w:right w:type="dxa" w:w="100"/>
            </w:tcMar>
          </w:tcPr>
          <w:p>
            <w:r>
              <w:rPr>
                <w:rFonts w:ascii="Arial" w:cs="Arial" w:eastAsia="Arial" w:hAnsi="Arial"/>
                <w:color w:val="1A1A1A"/>
                <w:sz w:val="24"/>
                <w:szCs w:val="24"/>
              </w:rPr>
              <w:t xml:space="preserve">Fixed Income</w:t>
            </w:r>
          </w:p>
        </w:tc>
        <w:tc>
          <w:tcPr>
            <w:shd w:fill="FFFFFF" w:val="solid"/>
            <w:tcMar>
              <w:top w:type="dxa" w:w="60"/>
              <w:left w:type="dxa" w:w="100"/>
              <w:bottom w:type="dxa" w:w="60"/>
              <w:right w:type="dxa" w:w="100"/>
            </w:tcMar>
          </w:tcPr>
          <w:p>
            <w:r>
              <w:rPr>
                <w:rFonts w:ascii="Arial" w:cs="Arial" w:eastAsia="Arial" w:hAnsi="Arial"/>
                <w:color w:val="1A1A1A"/>
                <w:sz w:val="24"/>
                <w:szCs w:val="24"/>
              </w:rPr>
              <w:t xml:space="preserve">________</w:t>
            </w:r>
          </w:p>
        </w:tc>
        <w:tc>
          <w:tcPr>
            <w:shd w:fill="FFFFFF" w:val="solid"/>
            <w:tcMar>
              <w:top w:type="dxa" w:w="60"/>
              <w:left w:type="dxa" w:w="100"/>
              <w:bottom w:type="dxa" w:w="60"/>
              <w:right w:type="dxa" w:w="100"/>
            </w:tcMar>
          </w:tcPr>
          <w:p>
            <w:r>
              <w:rPr>
                <w:rFonts w:ascii="Arial" w:cs="Arial" w:eastAsia="Arial" w:hAnsi="Arial"/>
                <w:color w:val="1A1A1A"/>
                <w:sz w:val="24"/>
                <w:szCs w:val="24"/>
              </w:rPr>
              <w:t xml:space="preserve"/>
            </w:r>
          </w:p>
        </w:tc>
      </w:tr>
      <w:tr>
        <w:tc>
          <w:tcPr>
            <w:shd w:fill="F5F7FA" w:val="solid"/>
            <w:tcMar>
              <w:top w:type="dxa" w:w="60"/>
              <w:left w:type="dxa" w:w="100"/>
              <w:bottom w:type="dxa" w:w="60"/>
              <w:right w:type="dxa" w:w="100"/>
            </w:tcMar>
          </w:tcPr>
          <w:p>
            <w:r>
              <w:rPr>
                <w:rFonts w:ascii="Arial" w:cs="Arial" w:eastAsia="Arial" w:hAnsi="Arial"/>
                <w:color w:val="1A1A1A"/>
                <w:sz w:val="24"/>
                <w:szCs w:val="24"/>
              </w:rPr>
              <w:t xml:space="preserve">Alternatives / Commodities</w:t>
            </w:r>
          </w:p>
        </w:tc>
        <w:tc>
          <w:tcPr>
            <w:shd w:fill="F5F7FA" w:val="solid"/>
            <w:tcMar>
              <w:top w:type="dxa" w:w="60"/>
              <w:left w:type="dxa" w:w="100"/>
              <w:bottom w:type="dxa" w:w="60"/>
              <w:right w:type="dxa" w:w="100"/>
            </w:tcMar>
          </w:tcPr>
          <w:p>
            <w:r>
              <w:rPr>
                <w:rFonts w:ascii="Arial" w:cs="Arial" w:eastAsia="Arial" w:hAnsi="Arial"/>
                <w:color w:val="1A1A1A"/>
                <w:sz w:val="24"/>
                <w:szCs w:val="24"/>
              </w:rPr>
              <w:t xml:space="preserve">________</w:t>
            </w:r>
          </w:p>
        </w:tc>
        <w:tc>
          <w:tcPr>
            <w:shd w:fill="F5F7FA" w:val="solid"/>
            <w:tcMar>
              <w:top w:type="dxa" w:w="60"/>
              <w:left w:type="dxa" w:w="100"/>
              <w:bottom w:type="dxa" w:w="60"/>
              <w:right w:type="dxa" w:w="100"/>
            </w:tcMar>
          </w:tcPr>
          <w:p>
            <w:r>
              <w:rPr>
                <w:rFonts w:ascii="Arial" w:cs="Arial" w:eastAsia="Arial" w:hAnsi="Arial"/>
                <w:color w:val="1A1A1A"/>
                <w:sz w:val="24"/>
                <w:szCs w:val="24"/>
              </w:rPr>
              <w:t xml:space="preserve">See ADV Part 2A, Item 8 for details</w:t>
            </w:r>
          </w:p>
        </w:tc>
      </w:tr>
      <w:tr>
        <w:tc>
          <w:tcPr>
            <w:shd w:fill="FFFFFF" w:val="solid"/>
            <w:tcMar>
              <w:top w:type="dxa" w:w="60"/>
              <w:left w:type="dxa" w:w="100"/>
              <w:bottom w:type="dxa" w:w="60"/>
              <w:right w:type="dxa" w:w="100"/>
            </w:tcMar>
          </w:tcPr>
          <w:p>
            <w:r>
              <w:rPr>
                <w:rFonts w:ascii="Arial" w:cs="Arial" w:eastAsia="Arial" w:hAnsi="Arial"/>
                <w:color w:val="1A1A1A"/>
                <w:sz w:val="24"/>
                <w:szCs w:val="24"/>
              </w:rPr>
              <w:t xml:space="preserve">Cash</w:t>
            </w:r>
          </w:p>
        </w:tc>
        <w:tc>
          <w:tcPr>
            <w:shd w:fill="FFFFFF" w:val="solid"/>
            <w:tcMar>
              <w:top w:type="dxa" w:w="60"/>
              <w:left w:type="dxa" w:w="100"/>
              <w:bottom w:type="dxa" w:w="60"/>
              <w:right w:type="dxa" w:w="100"/>
            </w:tcMar>
          </w:tcPr>
          <w:p>
            <w:r>
              <w:rPr>
                <w:rFonts w:ascii="Arial" w:cs="Arial" w:eastAsia="Arial" w:hAnsi="Arial"/>
                <w:color w:val="1A1A1A"/>
                <w:sz w:val="24"/>
                <w:szCs w:val="24"/>
              </w:rPr>
              <w:t xml:space="preserve">________</w:t>
            </w:r>
          </w:p>
        </w:tc>
        <w:tc>
          <w:tcPr>
            <w:shd w:fill="FFFFFF" w:val="solid"/>
            <w:tcMar>
              <w:top w:type="dxa" w:w="60"/>
              <w:left w:type="dxa" w:w="100"/>
              <w:bottom w:type="dxa" w:w="60"/>
              <w:right w:type="dxa" w:w="100"/>
            </w:tcMar>
          </w:tcPr>
          <w:p>
            <w:r>
              <w:rPr>
                <w:rFonts w:ascii="Arial" w:cs="Arial" w:eastAsia="Arial" w:hAnsi="Arial"/>
                <w:color w:val="1A1A1A"/>
                <w:sz w:val="24"/>
                <w:szCs w:val="24"/>
              </w:rPr>
              <w:t xml:space="preserve"/>
            </w:r>
          </w:p>
        </w:tc>
      </w:tr>
    </w:tbl>
    <w:p>
      <w:pPr>
        <w:spacing w:after="120" w:line="276" w:lineRule="auto"/>
      </w:pPr>
      <w:r>
        <w:rPr>
          <w:rFonts w:ascii="Arial" w:cs="Arial" w:eastAsia="Arial" w:hAnsi="Arial"/>
          <w:color w:val="1A1A1A"/>
          <w:sz w:val="24"/>
          <w:szCs w:val="24"/>
        </w:rPr>
        <w:t xml:space="preserve">Note: Commodities, if included as an asset class, are described in more detail in BWP’s Form ADV Part 2A, Item 8. Investment in commodities carries additional risk including price volatility, leverage risk, and regulatory risk.</w:t>
      </w:r>
    </w:p>
    <w:p>
      <w:pPr>
        <w:pStyle w:val="Heading1"/>
        <w:spacing w:after="160" w:before="360"/>
      </w:pPr>
      <w:r>
        <w:rPr>
          <w:rFonts w:ascii="Arial" w:cs="Arial" w:eastAsia="Arial" w:hAnsi="Arial"/>
          <w:b/>
          <w:bCs/>
          <w:color w:val="1B3A5C"/>
          <w:sz w:val="32"/>
          <w:szCs w:val="32"/>
        </w:rPr>
        <w:t xml:space="preserve">Reporting</w:t>
      </w:r>
    </w:p>
    <w:p>
      <w:pPr>
        <w:spacing w:after="120" w:line="276" w:lineRule="auto"/>
      </w:pPr>
      <w:r>
        <w:rPr>
          <w:rFonts w:ascii="Arial" w:cs="Arial" w:eastAsia="Arial" w:hAnsi="Arial"/>
          <w:color w:val="1A1A1A"/>
          <w:sz w:val="24"/>
          <w:szCs w:val="24"/>
        </w:rPr>
        <w:t xml:space="preserve">Portfolio performance reports will be available quarterly through the Client’s custodial portal (Altruist Financial, LLC). BWP will conduct portfolio reviews at least quarterly, with a comprehensive annual review.</w:t>
      </w:r>
    </w:p>
    <w:p>
      <w:pPr>
        <w:spacing w:after="120" w:line="276" w:lineRule="auto"/>
      </w:pPr>
      <w:r>
        <w:rPr>
          <w:rFonts w:ascii="Arial" w:cs="Arial" w:eastAsia="Arial" w:hAnsi="Arial"/>
          <w:color w:val="1A1A1A"/>
          <w:sz w:val="24"/>
          <w:szCs w:val="24"/>
        </w:rPr>
        <w:t xml:space="preserve">In addition, the Client’s qualified custodian will deliver account statements on at least a quarterly basis showing all positions, transactions, and account activity.</w:t>
      </w:r>
    </w:p>
    <w:p>
      <w:pPr>
        <w:spacing w:after="120" w:line="276" w:lineRule="auto"/>
      </w:pPr>
      <w:r>
        <w:rPr>
          <w:rFonts w:ascii="Arial" w:cs="Arial" w:eastAsia="Arial" w:hAnsi="Arial"/>
          <w:color w:val="1A1A1A"/>
          <w:sz w:val="24"/>
          <w:szCs w:val="24"/>
        </w:rPr>
        <w:t xml:space="preserve">Clients will receive trade confirmations from the custodian(s) for each transaction in their accounts, as well as monthly or quarterly statements and annual tax reporting statements.</w:t>
      </w:r>
    </w:p>
    <w:p>
      <w:pPr>
        <w:pStyle w:val="Heading1"/>
        <w:spacing w:after="160" w:before="360"/>
      </w:pPr>
      <w:r>
        <w:rPr>
          <w:rFonts w:ascii="Arial" w:cs="Arial" w:eastAsia="Arial" w:hAnsi="Arial"/>
          <w:b/>
          <w:bCs/>
          <w:color w:val="1B3A5C"/>
          <w:sz w:val="32"/>
          <w:szCs w:val="32"/>
        </w:rPr>
        <w:t xml:space="preserve">Review and Rebalancing</w:t>
      </w:r>
    </w:p>
    <w:p>
      <w:pPr>
        <w:spacing w:after="120" w:line="276" w:lineRule="auto"/>
      </w:pPr>
      <w:r>
        <w:rPr>
          <w:rFonts w:ascii="Arial" w:cs="Arial" w:eastAsia="Arial" w:hAnsi="Arial"/>
          <w:color w:val="1A1A1A"/>
          <w:sz w:val="24"/>
          <w:szCs w:val="24"/>
        </w:rPr>
        <w:t xml:space="preserve">Buckeye Wealth Partners, LLC will review the client’s goals and objectives at least annually and their portfolio at least quarterly to ensure alignment with the target allocations. Portfolios will be rebalanced, when appropriate, to maintain the desired allocation amongst asset classes.</w:t>
      </w:r>
    </w:p>
    <w:p>
      <w:pPr>
        <w:spacing w:after="120" w:line="276" w:lineRule="auto"/>
      </w:pPr>
      <w:r>
        <w:rPr>
          <w:rFonts w:ascii="Arial" w:cs="Arial" w:eastAsia="Arial" w:hAnsi="Arial"/>
          <w:color w:val="1A1A1A"/>
          <w:sz w:val="24"/>
          <w:szCs w:val="24"/>
        </w:rPr>
        <w:t xml:space="preserve">Triggers that may prompt an out-of-cycle review include: unusual portfolio performance, changes in market conditions, significant changes in the Client’s financial situation, changes in Client-imposed restrictions, or specific Client requests.</w:t>
      </w:r>
    </w:p>
    <w:p>
      <w:pPr>
        <w:spacing w:after="120" w:line="276" w:lineRule="auto"/>
      </w:pPr>
      <w:r>
        <w:rPr>
          <w:rFonts w:ascii="Arial" w:cs="Arial" w:eastAsia="Arial" w:hAnsi="Arial"/>
          <w:color w:val="1A1A1A"/>
          <w:sz w:val="24"/>
          <w:szCs w:val="24"/>
        </w:rPr>
        <w:t xml:space="preserve">A comprehensive annual review will be conducted to assess overall progress toward the Client’s financial goals and objectives, consistent with BWP’s ADV Part 2A, Item 13.</w:t>
      </w:r>
    </w:p>
    <w:p>
      <w:pPr>
        <w:pStyle w:val="Heading1"/>
        <w:spacing w:after="160" w:before="360"/>
      </w:pPr>
      <w:r>
        <w:rPr>
          <w:rFonts w:ascii="Arial" w:cs="Arial" w:eastAsia="Arial" w:hAnsi="Arial"/>
          <w:b/>
          <w:bCs/>
          <w:color w:val="1B3A5C"/>
          <w:sz w:val="32"/>
          <w:szCs w:val="32"/>
        </w:rPr>
        <w:t xml:space="preserve">Investment Guidelines and Constraints</w:t>
      </w:r>
    </w:p>
    <w:p>
      <w:pPr>
        <w:pStyle w:val="Heading2"/>
        <w:spacing w:after="120" w:before="280"/>
      </w:pPr>
      <w:r>
        <w:rPr>
          <w:rFonts w:ascii="Arial" w:cs="Arial" w:eastAsia="Arial" w:hAnsi="Arial"/>
          <w:b/>
          <w:bCs/>
          <w:color w:val="2E6B9E"/>
          <w:sz w:val="28"/>
          <w:szCs w:val="28"/>
        </w:rPr>
        <w:t xml:space="preserve">Eligible Securities</w:t>
      </w:r>
    </w:p>
    <w:p>
      <w:pPr>
        <w:spacing w:after="120" w:line="276" w:lineRule="auto"/>
      </w:pPr>
      <w:r>
        <w:rPr>
          <w:rFonts w:ascii="Arial" w:cs="Arial" w:eastAsia="Arial" w:hAnsi="Arial"/>
          <w:color w:val="1A1A1A"/>
          <w:sz w:val="24"/>
          <w:szCs w:val="24"/>
        </w:rPr>
        <w:t xml:space="preserve">BWP may invest Client assets in stocks, bonds, mutual funds, exchange-traded funds (ETFs), U.S. government and municipal securities, and cash and cash equivalents, consistent with the advisory services described in BWP’s Form ADV Part 2A.</w:t>
      </w:r>
    </w:p>
    <w:p>
      <w:pPr>
        <w:pStyle w:val="Heading2"/>
        <w:spacing w:after="120" w:before="280"/>
      </w:pPr>
      <w:r>
        <w:rPr>
          <w:rFonts w:ascii="Arial" w:cs="Arial" w:eastAsia="Arial" w:hAnsi="Arial"/>
          <w:b/>
          <w:bCs/>
          <w:color w:val="2E6B9E"/>
          <w:sz w:val="28"/>
          <w:szCs w:val="28"/>
        </w:rPr>
        <w:t xml:space="preserve">Restrictions</w:t>
      </w:r>
    </w:p>
    <w:p>
      <w:pPr>
        <w:spacing w:after="120" w:line="276" w:lineRule="auto"/>
      </w:pPr>
      <w:r>
        <w:rPr>
          <w:rFonts w:ascii="Arial" w:cs="Arial" w:eastAsia="Arial" w:hAnsi="Arial"/>
          <w:color w:val="1A1A1A"/>
          <w:sz w:val="24"/>
          <w:szCs w:val="24"/>
        </w:rPr>
        <w:t xml:space="preserve">The Client may impose reasonable restrictions on the investment of assets, provided the request is made in writing and subject to Advisor’s approval. Any restrictions will be documented and reviewed to ensure ongoing adherence.</w:t>
      </w:r>
    </w:p>
    <w:p>
      <w:pPr>
        <w:pStyle w:val="Heading2"/>
        <w:spacing w:after="120" w:before="280"/>
      </w:pPr>
      <w:r>
        <w:rPr>
          <w:rFonts w:ascii="Arial" w:cs="Arial" w:eastAsia="Arial" w:hAnsi="Arial"/>
          <w:b/>
          <w:bCs/>
          <w:color w:val="2E6B9E"/>
          <w:sz w:val="28"/>
          <w:szCs w:val="28"/>
        </w:rPr>
        <w:t xml:space="preserve">Discretionary Authority</w:t>
      </w:r>
    </w:p>
    <w:p>
      <w:pPr>
        <w:spacing w:after="120" w:line="276" w:lineRule="auto"/>
      </w:pPr>
      <w:r>
        <w:rPr>
          <w:rFonts w:ascii="Arial" w:cs="Arial" w:eastAsia="Arial" w:hAnsi="Arial"/>
          <w:color w:val="1A1A1A"/>
          <w:sz w:val="24"/>
          <w:szCs w:val="24"/>
        </w:rPr>
        <w:t xml:space="preserve">Pursuant to the Client’s Advisory Agreement, BWP has been granted discretionary authority to make investment decisions on behalf of the Client, subject to the guidelines and restrictions set forth in this IPS and the Advisory Agreement.</w:t>
      </w:r>
    </w:p>
    <w:p>
      <w:pPr>
        <w:pStyle w:val="Heading1"/>
        <w:spacing w:after="160" w:before="360"/>
      </w:pPr>
      <w:r>
        <w:rPr>
          <w:rFonts w:ascii="Arial" w:cs="Arial" w:eastAsia="Arial" w:hAnsi="Arial"/>
          <w:b/>
          <w:bCs/>
          <w:color w:val="1B3A5C"/>
          <w:sz w:val="32"/>
          <w:szCs w:val="32"/>
        </w:rPr>
        <w:t xml:space="preserve">Fiduciary Commitment</w:t>
      </w:r>
    </w:p>
    <w:p>
      <w:pPr>
        <w:spacing w:after="120" w:line="276" w:lineRule="auto"/>
      </w:pPr>
      <w:r>
        <w:rPr>
          <w:rFonts w:ascii="Arial" w:cs="Arial" w:eastAsia="Arial" w:hAnsi="Arial"/>
          <w:color w:val="1A1A1A"/>
          <w:sz w:val="24"/>
          <w:szCs w:val="24"/>
        </w:rPr>
        <w:t xml:space="preserve">Buckeye Wealth Partners, LLC serves as a fiduciary to the Client. As a fiduciary, BWP is obligated to act in the Client’s best interest, maintain undivided loyalty, avoid conflicts of interest, and make full disclosure of all material facts relating to the advisory relationship. This standard applies at all times when providing investment advice and financial planning services.</w:t>
      </w:r>
    </w:p>
    <w:p>
      <w:pPr>
        <w:spacing w:after="120" w:line="276" w:lineRule="auto"/>
      </w:pPr>
      <w:r>
        <w:rPr>
          <w:rFonts w:ascii="Arial" w:cs="Arial" w:eastAsia="Arial" w:hAnsi="Arial"/>
          <w:color w:val="1A1A1A"/>
          <w:sz w:val="24"/>
          <w:szCs w:val="24"/>
        </w:rPr>
        <w:t xml:space="preserve">BWP is a fee-only firm. BWP receives compensation solely from its Clients and does not receive commissions, sales-related compensation, or other economic benefits from third parties in connection with advisory services.</w:t>
      </w:r>
    </w:p>
    <w:p>
      <w:pPr>
        <w:pStyle w:val="Heading1"/>
        <w:spacing w:after="160" w:before="360"/>
      </w:pPr>
      <w:r>
        <w:rPr>
          <w:rFonts w:ascii="Arial" w:cs="Arial" w:eastAsia="Arial" w:hAnsi="Arial"/>
          <w:b/>
          <w:bCs/>
          <w:color w:val="1B3A5C"/>
          <w:sz w:val="32"/>
          <w:szCs w:val="32"/>
        </w:rPr>
        <w:t xml:space="preserve">Adoption and Signatures</w:t>
      </w:r>
    </w:p>
    <w:p>
      <w:pPr>
        <w:spacing w:after="120" w:line="276" w:lineRule="auto"/>
      </w:pPr>
      <w:r>
        <w:rPr>
          <w:rFonts w:ascii="Arial" w:cs="Arial" w:eastAsia="Arial" w:hAnsi="Arial"/>
          <w:color w:val="1A1A1A"/>
          <w:sz w:val="24"/>
          <w:szCs w:val="24"/>
        </w:rPr>
        <w:t xml:space="preserve">By signing this Investment Policy Statement, the Client(s) acknowledges acceptance and agreement with the information contained herein.</w:t>
      </w:r>
    </w:p>
    <w:p>
      <w:pPr>
        <w:spacing w:after="120" w:line="276" w:lineRule="auto"/>
      </w:pPr>
      <w:r>
        <w:rPr>
          <w:rFonts w:ascii="Arial" w:cs="Arial" w:eastAsia="Arial" w:hAnsi="Arial"/>
          <w:color w:val="1A1A1A"/>
          <w:sz w:val="24"/>
          <w:szCs w:val="24"/>
        </w:rPr>
        <w:t xml:space="preserve">This Investment Policy Statement is a planning document and does not constitute a binding contract. The Client’s Advisory Agreement governs the terms of the advisory relationship.</w:t>
      </w:r>
    </w:p>
    <w:p>
      <w:pPr>
        <w:spacing w:after="120" w:line="276" w:lineRule="auto"/>
      </w:pPr>
      <w:r>
        <w:rPr>
          <w:rFonts w:ascii="Arial" w:cs="Arial" w:eastAsia="Arial" w:hAnsi="Arial"/>
          <w:color w:val="1A1A1A"/>
          <w:sz w:val="24"/>
          <w:szCs w:val="24"/>
        </w:rPr>
        <w:t xml:space="preserve"/>
      </w:r>
    </w:p>
    <w:p>
      <w:pPr>
        <w:spacing w:after="360" w:before="360" w:line="276" w:lineRule="auto"/>
      </w:pPr>
      <w:r>
        <w:rPr>
          <w:rFonts w:ascii="Arial" w:cs="Arial" w:eastAsia="Arial" w:hAnsi="Arial"/>
          <w:color w:val="1A1A1A"/>
          <w:sz w:val="24"/>
          <w:szCs w:val="24"/>
        </w:rPr>
        <w:t xml:space="preserve">Client Signature:  _______________________________    Date  ________</w:t>
      </w:r>
    </w:p>
    <w:p>
      <w:pPr>
        <w:spacing w:after="360" w:before="360" w:line="276" w:lineRule="auto"/>
      </w:pPr>
      <w:r>
        <w:rPr>
          <w:rFonts w:ascii="Arial" w:cs="Arial" w:eastAsia="Arial" w:hAnsi="Arial"/>
          <w:color w:val="1A1A1A"/>
          <w:sz w:val="24"/>
          <w:szCs w:val="24"/>
        </w:rPr>
        <w:t xml:space="preserve">Client Signature:  _______________________________    Date  ________</w:t>
      </w:r>
    </w:p>
    <w:p>
      <w:pPr>
        <w:spacing w:after="360" w:before="360" w:line="276" w:lineRule="auto"/>
      </w:pPr>
      <w:r>
        <w:rPr>
          <w:rFonts w:ascii="Arial" w:cs="Arial" w:eastAsia="Arial" w:hAnsi="Arial"/>
          <w:color w:val="1A1A1A"/>
          <w:sz w:val="24"/>
          <w:szCs w:val="24"/>
        </w:rPr>
        <w:t xml:space="preserve">Client Signature:  _______________________________    Date  ________</w:t>
      </w:r>
    </w:p>
    <w:p>
      <w:pPr>
        <w:spacing w:after="120" w:line="276" w:lineRule="auto"/>
      </w:pPr>
      <w:r>
        <w:rPr>
          <w:rFonts w:ascii="Arial" w:cs="Arial" w:eastAsia="Arial" w:hAnsi="Arial"/>
          <w:color w:val="1A1A1A"/>
          <w:sz w:val="24"/>
          <w:szCs w:val="24"/>
        </w:rPr>
        <w:t xml:space="preserve"/>
      </w:r>
    </w:p>
    <w:p>
      <w:pPr>
        <w:spacing w:after="80" w:line="276" w:lineRule="auto"/>
      </w:pPr>
      <w:r>
        <w:rPr>
          <w:rFonts w:ascii="Arial" w:cs="Arial" w:eastAsia="Arial" w:hAnsi="Arial"/>
          <w:b/>
          <w:bCs/>
          <w:color w:val="1A1A1A"/>
          <w:sz w:val="24"/>
          <w:szCs w:val="24"/>
        </w:rPr>
        <w:t xml:space="preserve">Advisor: </w:t>
      </w:r>
      <w:r>
        <w:rPr>
          <w:rFonts w:ascii="Arial" w:cs="Arial" w:eastAsia="Arial" w:hAnsi="Arial"/>
          <w:color w:val="1A1A1A"/>
          <w:sz w:val="24"/>
          <w:szCs w:val="24"/>
        </w:rPr>
        <w:t xml:space="preserve">Buckeye Wealth Partners, LLC</w:t>
      </w:r>
    </w:p>
    <w:p>
      <w:pPr>
        <w:spacing w:after="360" w:before="360" w:line="276" w:lineRule="auto"/>
      </w:pPr>
      <w:r>
        <w:rPr>
          <w:rFonts w:ascii="Arial" w:cs="Arial" w:eastAsia="Arial" w:hAnsi="Arial"/>
          <w:color w:val="1A1A1A"/>
          <w:sz w:val="24"/>
          <w:szCs w:val="24"/>
        </w:rPr>
        <w:t xml:space="preserve">Authorized Signature:  _______________________________    Date  ________</w:t>
      </w:r>
    </w:p>
    <w:p>
      <w:pPr>
        <w:spacing w:after="120" w:line="276" w:lineRule="auto"/>
      </w:pPr>
      <w:r>
        <w:rPr>
          <w:rFonts w:ascii="Arial" w:cs="Arial" w:eastAsia="Arial" w:hAnsi="Arial"/>
          <w:color w:val="1A1A1A"/>
          <w:sz w:val="24"/>
          <w:szCs w:val="24"/>
        </w:rPr>
        <w:t xml:space="preserve"/>
      </w:r>
    </w:p>
    <w:p>
      <w:pPr>
        <w:pBdr>
          <w:bottom w:color="CCCCCC" w:sz="6" w:space="1"/>
        </w:pBdr>
        <w:spacing w:after="160" w:before="160"/>
      </w:pPr>
    </w:p>
    <w:p>
      <w:pPr>
        <w:spacing w:after="120" w:before="240"/>
        <w:jc w:val="center"/>
      </w:pPr>
      <w:r>
        <w:rPr>
          <w:rFonts w:ascii="Arial" w:cs="Arial" w:eastAsia="Arial" w:hAnsi="Arial"/>
          <w:i/>
          <w:iCs/>
          <w:color w:val="666666"/>
          <w:sz w:val="18"/>
          <w:szCs w:val="18"/>
        </w:rPr>
        <w:t xml:space="preserve">Buckeye Wealth Partners LLC  |  CRD# 126428  |  Ohio Division of Securities  |  Version v.04.2026  |  Effective April 13,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BWP Investment Policy Statement v.04.2026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2026-04-13T14:03:27.752Z</dcterms:created>
  <dcterms:modified xsi:type="dcterms:W3CDTF">2026-04-13T14:03:27.753Z</dcterms:modified>
</cp:coreProperties>
</file>

<file path=docProps/custom.xml><?xml version="1.0" encoding="utf-8"?>
<Properties xmlns="http://schemas.openxmlformats.org/officeDocument/2006/custom-properties" xmlns:vt="http://schemas.openxmlformats.org/officeDocument/2006/docPropsVTypes"/>
</file>