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pPr>
      <w:r>
        <w:rPr>
          <w:sz w:val="24"/>
          <w:szCs w:val="24"/>
        </w:rPr>
        <w:t xml:space="preserve"/>
      </w:r>
    </w:p>
    <w:p>
      <w:pPr>
        <w:spacing w:after="0" w:before="0" w:line="240" w:lineRule="auto"/>
      </w:pPr>
      <w:r>
        <w:rPr>
          <w:sz w:val="24"/>
          <w:szCs w:val="24"/>
        </w:rPr>
        <w:t xml:space="preserve"/>
      </w:r>
    </w:p>
    <w:p>
      <w:pPr>
        <w:spacing w:after="200" w:before="480" w:line="276" w:lineRule="auto"/>
        <w:jc w:val="center"/>
      </w:pPr>
      <w:r>
        <w:rPr>
          <w:rFonts w:ascii="Arial" w:cs="Arial" w:eastAsia="Arial" w:hAnsi="Arial"/>
          <w:b/>
          <w:bCs/>
          <w:color w:val="1B3A5C"/>
          <w:sz w:val="36"/>
          <w:szCs w:val="36"/>
        </w:rPr>
        <w:t xml:space="preserve">BUCKEYE WEALTH PARTNERS LLC</w:t>
      </w:r>
    </w:p>
    <w:p>
      <w:pPr>
        <w:spacing w:after="160" w:before="160" w:line="276" w:lineRule="auto"/>
        <w:jc w:val="center"/>
      </w:pPr>
      <w:r>
        <w:rPr>
          <w:rFonts w:ascii="Arial" w:cs="Arial" w:eastAsia="Arial" w:hAnsi="Arial"/>
          <w:b/>
          <w:bCs/>
          <w:color w:val="1A1A1A"/>
          <w:sz w:val="32"/>
          <w:szCs w:val="32"/>
        </w:rPr>
        <w:t xml:space="preserve">Privacy Policy</w:t>
      </w:r>
    </w:p>
    <w:p>
      <w:pPr>
        <w:spacing w:after="80" w:before="80" w:line="276" w:lineRule="auto"/>
        <w:jc w:val="center"/>
      </w:pPr>
      <w:r>
        <w:rPr>
          <w:rFonts w:ascii="Arial" w:cs="Arial" w:eastAsia="Arial" w:hAnsi="Arial"/>
          <w:i/>
          <w:iCs/>
          <w:color w:val="666666"/>
          <w:sz w:val="24"/>
          <w:szCs w:val="24"/>
        </w:rPr>
        <w:t xml:space="preserve">Version 04.2026  |  Effective Date: April 13, 2026</w:t>
      </w:r>
    </w:p>
    <w:p>
      <w:pPr>
        <w:spacing w:after="240" w:before="40" w:line="276" w:lineRule="auto"/>
        <w:jc w:val="center"/>
      </w:pPr>
      <w:r>
        <w:rPr>
          <w:rFonts w:ascii="Arial" w:cs="Arial" w:eastAsia="Arial" w:hAnsi="Arial"/>
          <w:i/>
          <w:iCs/>
          <w:color w:val="666666"/>
          <w:sz w:val="24"/>
          <w:szCs w:val="24"/>
        </w:rPr>
        <w:t xml:space="preserve">Regulation S-P (17 CFR Part 248)</w:t>
      </w:r>
    </w:p>
    <w:p>
      <w:pPr>
        <w:pBdr>
          <w:bottom w:val="single" w:color="1B3A5C" w:sz="6" w:space="2"/>
        </w:pBdr>
        <w:spacing w:after="120" w:before="120"/>
      </w:pPr>
      <w:r>
        <w:t xml:space="preserve"/>
      </w:r>
    </w:p>
    <w:p>
      <w:pPr>
        <w:spacing w:after="0" w:before="0" w:line="240" w:lineRule="auto"/>
      </w:pPr>
      <w:r>
        <w:rPr>
          <w:sz w:val="24"/>
          <w:szCs w:val="24"/>
        </w:rPr>
        <w:t xml:space="preserve"/>
      </w:r>
    </w:p>
    <w:p>
      <w:pPr>
        <w:spacing w:after="120" w:before="120"/>
        <w:jc w:val="center"/>
      </w:pPr>
      <w:r>
        <w:rPr>
          <w:rFonts w:ascii="Arial" w:cs="Arial" w:eastAsia="Arial" w:hAnsi="Arial"/>
          <w:b/>
          <w:bCs/>
          <w:color w:val="666666"/>
          <w:sz w:val="24"/>
          <w:szCs w:val="24"/>
        </w:rPr>
        <w:t xml:space="preserve">CONFIDENTIAL — FOR CLIENT AND REGULATORY USE</w:t>
      </w:r>
    </w:p>
    <w:p>
      <w:pPr>
        <w:spacing w:after="480" w:before="120"/>
        <w:jc w:val="center"/>
      </w:pPr>
      <w:r>
        <w:rPr>
          <w:rFonts w:ascii="Arial" w:cs="Arial" w:eastAsia="Arial" w:hAnsi="Arial"/>
          <w:color w:val="1A1A1A"/>
          <w:sz w:val="24"/>
          <w:szCs w:val="24"/>
        </w:rPr>
        <w:t xml:space="preserve">This Privacy Policy is provided to clients of Buckeye Wealth Partners LLC in accordance with Regulation S-P (17 CFR Part 248) and applicable Ohio privacy law. It describes how BWP collects, uses, and protects your nonpublic personal information.</w:t>
      </w:r>
    </w:p>
    <w:p>
      <w:pPr>
        <w:spacing w:after="0" w:before="0" w:line="240" w:lineRule="auto"/>
      </w:pPr>
      <w:r>
        <w:rPr>
          <w:sz w:val="24"/>
          <w:szCs w:val="24"/>
        </w:rPr>
        <w:t xml:space="preserve"/>
      </w:r>
    </w:p>
    <w:p>
      <w:pPr>
        <w:spacing w:after="0" w:before="0" w:line="240" w:lineRule="auto"/>
      </w:pPr>
      <w:r>
        <w:rPr>
          <w:sz w:val="24"/>
          <w:szCs w:val="24"/>
        </w:rPr>
        <w:t xml:space="preserve"/>
      </w:r>
    </w:p>
    <w:p>
      <w:pPr>
        <w:pBdr>
          <w:bottom w:val="single" w:color="1B3A5C" w:sz="4" w:space="4"/>
        </w:pBdr>
        <w:spacing w:after="160" w:before="360" w:line="276" w:lineRule="auto"/>
      </w:pPr>
      <w:r>
        <w:rPr>
          <w:rFonts w:ascii="Arial" w:cs="Arial" w:eastAsia="Arial" w:hAnsi="Arial"/>
          <w:b/>
          <w:bCs/>
          <w:color w:val="1B3A5C"/>
          <w:sz w:val="32"/>
          <w:szCs w:val="32"/>
        </w:rPr>
        <w:t xml:space="preserve">Privacy Notice — Buckeye Wealth Partners LLC</w:t>
      </w:r>
    </w:p>
    <w:p>
      <w:pPr>
        <w:spacing w:after="160" w:before="120" w:line="276" w:lineRule="auto"/>
        <w:jc w:val="left"/>
      </w:pPr>
      <w:r>
        <w:rPr>
          <w:rFonts w:ascii="Arial" w:cs="Arial" w:eastAsia="Arial" w:hAnsi="Arial"/>
          <w:b w:val="false"/>
          <w:bCs w:val="false"/>
          <w:i w:val="false"/>
          <w:iCs w:val="false"/>
          <w:color w:val="1A1A1A"/>
          <w:sz w:val="24"/>
          <w:szCs w:val="24"/>
        </w:rPr>
        <w:t xml:space="preserve">Buckeye Wealth Partners, LLC (“BWP”) recognizes that our relationships with current and prospective clients are based on integrity and trust. We work hard to maintain your privacy and to preserve the private nature of our relationship with you. We place the highest value on the information you share with us. We want our clients to understand what information we collect, how we use it, and how we protect your personal information. This Privacy Policy is issued pursuant to Regulation S-P (17 CFR Part 248), which governs the privacy of consumer financial information.</w:t>
      </w:r>
    </w:p>
    <w:p>
      <w:pPr>
        <w:spacing w:after="120" w:before="280" w:line="276" w:lineRule="auto"/>
      </w:pPr>
      <w:r>
        <w:rPr>
          <w:rFonts w:ascii="Arial" w:cs="Arial" w:eastAsia="Arial" w:hAnsi="Arial"/>
          <w:b/>
          <w:bCs/>
          <w:color w:val="2E6B9E"/>
          <w:sz w:val="28"/>
          <w:szCs w:val="28"/>
        </w:rPr>
        <w:t xml:space="preserve">Why We Collect Your Information</w:t>
      </w:r>
    </w:p>
    <w:p>
      <w:pPr>
        <w:spacing w:after="120" w:before="120" w:line="276" w:lineRule="auto"/>
        <w:jc w:val="left"/>
      </w:pPr>
      <w:r>
        <w:rPr>
          <w:rFonts w:ascii="Arial" w:cs="Arial" w:eastAsia="Arial" w:hAnsi="Arial"/>
          <w:b w:val="false"/>
          <w:bCs w:val="false"/>
          <w:i w:val="false"/>
          <w:iCs w:val="false"/>
          <w:color w:val="1A1A1A"/>
          <w:sz w:val="24"/>
          <w:szCs w:val="24"/>
        </w:rPr>
        <w:t xml:space="preserve">We gather information about you so that we can:</w:t>
      </w:r>
    </w:p>
    <w:p>
      <w:pPr>
        <w:spacing w:after="60" w:before="60" w:line="276" w:lineRule="auto"/>
        <w:ind w:left="360" w:hanging="0"/>
        <w:jc w:val="left"/>
      </w:pPr>
      <w:r>
        <w:rPr>
          <w:rFonts w:ascii="Arial" w:cs="Arial" w:eastAsia="Arial" w:hAnsi="Arial"/>
          <w:b w:val="false"/>
          <w:bCs w:val="false"/>
          <w:color w:val="1A1A1A"/>
          <w:sz w:val="24"/>
          <w:szCs w:val="24"/>
        </w:rPr>
        <w:t xml:space="preserve">•  Help design and implement the investment and financial planning related services we provide you; and</w:t>
      </w:r>
    </w:p>
    <w:p>
      <w:pPr>
        <w:spacing w:after="60" w:before="60" w:line="276" w:lineRule="auto"/>
        <w:ind w:left="360" w:hanging="0"/>
        <w:jc w:val="left"/>
      </w:pPr>
      <w:r>
        <w:rPr>
          <w:rFonts w:ascii="Arial" w:cs="Arial" w:eastAsia="Arial" w:hAnsi="Arial"/>
          <w:b w:val="false"/>
          <w:bCs w:val="false"/>
          <w:color w:val="1A1A1A"/>
          <w:sz w:val="24"/>
          <w:szCs w:val="24"/>
        </w:rPr>
        <w:t xml:space="preserve">•  Comply with the Federal and State laws and regulations that govern us.</w:t>
      </w:r>
    </w:p>
    <w:p>
      <w:pPr>
        <w:spacing w:after="120" w:before="280" w:line="276" w:lineRule="auto"/>
      </w:pPr>
      <w:r>
        <w:rPr>
          <w:rFonts w:ascii="Arial" w:cs="Arial" w:eastAsia="Arial" w:hAnsi="Arial"/>
          <w:b/>
          <w:bCs/>
          <w:color w:val="2E6B9E"/>
          <w:sz w:val="28"/>
          <w:szCs w:val="28"/>
        </w:rPr>
        <w:t xml:space="preserve">What Information We Collect and Maintain</w:t>
      </w:r>
    </w:p>
    <w:p>
      <w:pPr>
        <w:spacing w:after="120" w:before="120" w:line="276" w:lineRule="auto"/>
        <w:jc w:val="left"/>
      </w:pPr>
      <w:r>
        <w:rPr>
          <w:rFonts w:ascii="Arial" w:cs="Arial" w:eastAsia="Arial" w:hAnsi="Arial"/>
          <w:b w:val="false"/>
          <w:bCs w:val="false"/>
          <w:i w:val="false"/>
          <w:iCs w:val="false"/>
          <w:color w:val="1A1A1A"/>
          <w:sz w:val="24"/>
          <w:szCs w:val="24"/>
        </w:rPr>
        <w:t xml:space="preserve">We may collect the following types of “nonpublic personal information” about you:</w:t>
      </w:r>
    </w:p>
    <w:p>
      <w:pPr>
        <w:spacing w:after="60" w:before="60" w:line="276" w:lineRule="auto"/>
        <w:ind w:left="360" w:hanging="0"/>
        <w:jc w:val="left"/>
      </w:pPr>
      <w:r>
        <w:rPr>
          <w:rFonts w:ascii="Arial" w:cs="Arial" w:eastAsia="Arial" w:hAnsi="Arial"/>
          <w:b w:val="false"/>
          <w:bCs w:val="false"/>
          <w:color w:val="1A1A1A"/>
          <w:sz w:val="24"/>
          <w:szCs w:val="24"/>
        </w:rPr>
        <w:t xml:space="preserve">•  Information from our initial meeting or subsequent consultations about your identity, such as your name, contact information, social security number, date of birth, and financial information;</w:t>
      </w:r>
    </w:p>
    <w:p>
      <w:pPr>
        <w:spacing w:after="60" w:before="60" w:line="276" w:lineRule="auto"/>
        <w:ind w:left="360" w:hanging="0"/>
        <w:jc w:val="left"/>
      </w:pPr>
      <w:r>
        <w:rPr>
          <w:rFonts w:ascii="Arial" w:cs="Arial" w:eastAsia="Arial" w:hAnsi="Arial"/>
          <w:b w:val="false"/>
          <w:bCs w:val="false"/>
          <w:color w:val="1A1A1A"/>
          <w:sz w:val="24"/>
          <w:szCs w:val="24"/>
        </w:rPr>
        <w:t xml:space="preserve">•  Information that we generate to service your financial needs; and</w:t>
      </w:r>
    </w:p>
    <w:p>
      <w:pPr>
        <w:spacing w:after="60" w:before="60" w:line="276" w:lineRule="auto"/>
        <w:ind w:left="360" w:hanging="0"/>
        <w:jc w:val="left"/>
      </w:pPr>
      <w:r>
        <w:rPr>
          <w:rFonts w:ascii="Arial" w:cs="Arial" w:eastAsia="Arial" w:hAnsi="Arial"/>
          <w:b w:val="false"/>
          <w:bCs w:val="false"/>
          <w:color w:val="1A1A1A"/>
          <w:sz w:val="24"/>
          <w:szCs w:val="24"/>
        </w:rPr>
        <w:t xml:space="preserve">•  Information that we may receive from third parties in connection with the services we provide you.</w:t>
      </w:r>
    </w:p>
    <w:p>
      <w:pPr>
        <w:spacing w:after="120" w:before="280" w:line="276" w:lineRule="auto"/>
      </w:pPr>
      <w:r>
        <w:rPr>
          <w:rFonts w:ascii="Arial" w:cs="Arial" w:eastAsia="Arial" w:hAnsi="Arial"/>
          <w:b/>
          <w:bCs/>
          <w:color w:val="2E6B9E"/>
          <w:sz w:val="28"/>
          <w:szCs w:val="28"/>
        </w:rPr>
        <w:t xml:space="preserve">What Information We Disclose</w:t>
      </w:r>
    </w:p>
    <w:p>
      <w:pPr>
        <w:spacing w:after="120" w:before="120" w:line="276" w:lineRule="auto"/>
        <w:jc w:val="left"/>
      </w:pPr>
      <w:r>
        <w:rPr>
          <w:rFonts w:ascii="Arial" w:cs="Arial" w:eastAsia="Arial" w:hAnsi="Arial"/>
          <w:b w:val="false"/>
          <w:bCs w:val="false"/>
          <w:i w:val="false"/>
          <w:iCs w:val="false"/>
          <w:color w:val="1A1A1A"/>
          <w:sz w:val="24"/>
          <w:szCs w:val="24"/>
        </w:rPr>
        <w:t xml:space="preserve">We are permitted by law to disclose nonpublic personal information about you to unaffiliated third parties in certain circumstances. BWP may disclose client’s nonpublic personal information: (1) to individuals and/or entities not affiliated with BWP, including, but not limited to third-parties that assist in the supervision or management of your account(s) (i.e., sub-advisers, account custodian, record keeper, attorney, etc.); (2) to service providers contracted by us in order for us to perform the duties in furtherance of the client’s engagement with BWP (i.e., client management systems, archiving technology vendors, cloud service providers, etc.); (3) to your authorized representative or power of attorney; (4) when we receive your prior consent; (5) in connection with a proposed or actual sale, merger, or transfer of all or a portion of our business; and (6) as otherwise permitted to do so in accordance with the parameters of applicable federal and/or state privacy regulations.</w:t>
      </w:r>
    </w:p>
    <w:p>
      <w:pPr>
        <w:spacing w:after="120" w:before="120" w:line="276" w:lineRule="auto"/>
        <w:jc w:val="left"/>
      </w:pPr>
      <w:r>
        <w:rPr>
          <w:rFonts w:ascii="Arial" w:cs="Arial" w:eastAsia="Arial" w:hAnsi="Arial"/>
          <w:b w:val="false"/>
          <w:bCs w:val="false"/>
          <w:i w:val="false"/>
          <w:iCs w:val="false"/>
          <w:color w:val="1A1A1A"/>
          <w:sz w:val="24"/>
          <w:szCs w:val="24"/>
        </w:rPr>
        <w:t xml:space="preserve">We will not sell your personal information. No contact information, including phone numbers and email addresses, will be shared with third parties or affiliates for marketing or promotional purposes. In the event that BWP has a change to its client privacy policy that would allow it to disclose nonpublic personal information not covered under applicable law, BWP will allow its clients the opportunity to opt-out of such disclosure.</w:t>
      </w:r>
    </w:p>
    <w:p>
      <w:pPr>
        <w:spacing w:after="120" w:before="280" w:line="276" w:lineRule="auto"/>
      </w:pPr>
      <w:r>
        <w:rPr>
          <w:rFonts w:ascii="Arial" w:cs="Arial" w:eastAsia="Arial" w:hAnsi="Arial"/>
          <w:b/>
          <w:bCs/>
          <w:color w:val="2E6B9E"/>
          <w:sz w:val="28"/>
          <w:szCs w:val="28"/>
        </w:rPr>
        <w:t xml:space="preserve">Opt-Out Rights</w:t>
      </w:r>
    </w:p>
    <w:p>
      <w:pPr>
        <w:spacing w:after="120" w:before="120" w:line="276" w:lineRule="auto"/>
        <w:jc w:val="left"/>
      </w:pPr>
      <w:r>
        <w:rPr>
          <w:rFonts w:ascii="Arial" w:cs="Arial" w:eastAsia="Arial" w:hAnsi="Arial"/>
          <w:b w:val="false"/>
          <w:bCs w:val="false"/>
          <w:i w:val="false"/>
          <w:iCs w:val="false"/>
          <w:color w:val="1A1A1A"/>
          <w:sz w:val="24"/>
          <w:szCs w:val="24"/>
        </w:rPr>
        <w:t xml:space="preserve">BWP does not currently share nonpublic personal information with nonaffiliated third parties in a manner that would trigger opt-out rights under Regulation S-P. Should BWP’s information-sharing practices change in the future, clients will be notified and provided with a reasonable opportunity to opt out before any such sharing occurs. Clients may direct questions about opt-out rights to Jim Kilgore, CCO, at (937) 434-1790.</w:t>
      </w:r>
    </w:p>
    <w:p>
      <w:pPr>
        <w:spacing w:after="120" w:before="280" w:line="276" w:lineRule="auto"/>
      </w:pPr>
      <w:r>
        <w:rPr>
          <w:rFonts w:ascii="Arial" w:cs="Arial" w:eastAsia="Arial" w:hAnsi="Arial"/>
          <w:b/>
          <w:bCs/>
          <w:color w:val="2E6B9E"/>
          <w:sz w:val="28"/>
          <w:szCs w:val="28"/>
        </w:rPr>
        <w:t xml:space="preserve">How We Protect Your Personal Information</w:t>
      </w:r>
    </w:p>
    <w:p>
      <w:pPr>
        <w:spacing w:after="120" w:before="120" w:line="276" w:lineRule="auto"/>
        <w:jc w:val="left"/>
      </w:pPr>
      <w:r>
        <w:rPr>
          <w:rFonts w:ascii="Arial" w:cs="Arial" w:eastAsia="Arial" w:hAnsi="Arial"/>
          <w:b w:val="false"/>
          <w:bCs w:val="false"/>
          <w:i w:val="false"/>
          <w:iCs w:val="false"/>
          <w:color w:val="1A1A1A"/>
          <w:sz w:val="24"/>
          <w:szCs w:val="24"/>
        </w:rPr>
        <w:t xml:space="preserve">We restrict and limit access to client information only to those who need to carry out their business functions. We safeguard client information by preventing its unauthorized access, disclosure, or use. We maintain physical, electronic, and procedural safeguards to protect your confidential personal information. Arrangements with companies or independent contractors not affiliated with BWP will be subject to confidentiality agreements.</w:t>
      </w:r>
    </w:p>
    <w:p>
      <w:pPr>
        <w:pBdr>
          <w:bottom w:val="single" w:color="1B3A5C" w:sz="4" w:space="4"/>
        </w:pBdr>
        <w:spacing w:after="160" w:before="360" w:line="276" w:lineRule="auto"/>
      </w:pPr>
      <w:r>
        <w:rPr>
          <w:rFonts w:ascii="Arial" w:cs="Arial" w:eastAsia="Arial" w:hAnsi="Arial"/>
          <w:b/>
          <w:bCs/>
          <w:color w:val="1B3A5C"/>
          <w:sz w:val="32"/>
          <w:szCs w:val="32"/>
        </w:rPr>
        <w:t xml:space="preserve">Breach Notification — Amended Regulation S-P (Effective December 3, 2025)</w:t>
      </w:r>
    </w:p>
    <w:p>
      <w:pPr>
        <w:spacing w:after="120" w:before="120" w:line="276" w:lineRule="auto"/>
        <w:jc w:val="left"/>
      </w:pPr>
      <w:r>
        <w:rPr>
          <w:rFonts w:ascii="Arial" w:cs="Arial" w:eastAsia="Arial" w:hAnsi="Arial"/>
          <w:b w:val="false"/>
          <w:bCs w:val="false"/>
          <w:i w:val="false"/>
          <w:iCs w:val="false"/>
          <w:color w:val="1A1A1A"/>
          <w:sz w:val="24"/>
          <w:szCs w:val="24"/>
        </w:rPr>
        <w:t xml:space="preserve">In the event that BWP discovers or is notified of a security breach involving unauthorized access to or misuse of client nonpublic personal information (“NPPI”), BWP is required to notify each affected individual in accordance with the requirements of amended Regulation S-P (17 CFR § 248.30), which became effective December 3, 2025.</w:t>
      </w:r>
    </w:p>
    <w:p>
      <w:pPr>
        <w:spacing w:after="120" w:before="280" w:line="276" w:lineRule="auto"/>
      </w:pPr>
      <w:r>
        <w:rPr>
          <w:rFonts w:ascii="Arial" w:cs="Arial" w:eastAsia="Arial" w:hAnsi="Arial"/>
          <w:b/>
          <w:bCs/>
          <w:color w:val="2E6B9E"/>
          <w:sz w:val="28"/>
          <w:szCs w:val="28"/>
        </w:rPr>
        <w:t xml:space="preserve">30-Day Notification Requirement</w:t>
      </w:r>
    </w:p>
    <w:p>
      <w:pPr>
        <w:spacing w:after="120" w:before="120" w:line="276" w:lineRule="auto"/>
        <w:jc w:val="left"/>
      </w:pPr>
      <w:r>
        <w:rPr>
          <w:rFonts w:ascii="Arial" w:cs="Arial" w:eastAsia="Arial" w:hAnsi="Arial"/>
          <w:b w:val="false"/>
          <w:bCs w:val="false"/>
          <w:i w:val="false"/>
          <w:iCs w:val="false"/>
          <w:color w:val="1A1A1A"/>
          <w:sz w:val="24"/>
          <w:szCs w:val="24"/>
        </w:rPr>
        <w:t xml:space="preserve">BWP will provide written notice to each affected individual within thirty (30) calendar days of discovering that a breach of security has resulted in, or is reasonably likely to result in, unauthorized access to or use of that individual’s nonpublic personal information. The 30-day clock begins upon BWP’s discovery or reasonable determination that covered NPPI has been accessed or used without authorization.</w:t>
      </w:r>
    </w:p>
    <w:p>
      <w:pPr>
        <w:spacing w:after="120" w:before="280" w:line="276" w:lineRule="auto"/>
      </w:pPr>
      <w:r>
        <w:rPr>
          <w:rFonts w:ascii="Arial" w:cs="Arial" w:eastAsia="Arial" w:hAnsi="Arial"/>
          <w:b/>
          <w:bCs/>
          <w:color w:val="2E6B9E"/>
          <w:sz w:val="28"/>
          <w:szCs w:val="28"/>
        </w:rPr>
        <w:t xml:space="preserve">Notice Content Requirements</w:t>
      </w:r>
    </w:p>
    <w:p>
      <w:pPr>
        <w:spacing w:after="120" w:before="120" w:line="276" w:lineRule="auto"/>
        <w:jc w:val="left"/>
      </w:pPr>
      <w:r>
        <w:rPr>
          <w:rFonts w:ascii="Arial" w:cs="Arial" w:eastAsia="Arial" w:hAnsi="Arial"/>
          <w:b w:val="false"/>
          <w:bCs w:val="false"/>
          <w:i w:val="false"/>
          <w:iCs w:val="false"/>
          <w:color w:val="1A1A1A"/>
          <w:sz w:val="24"/>
          <w:szCs w:val="24"/>
        </w:rPr>
        <w:t xml:space="preserve">Each breach notification provided to affected individuals will include, at minimum:</w:t>
      </w:r>
    </w:p>
    <w:p>
      <w:pPr>
        <w:spacing w:after="60" w:before="60" w:line="276" w:lineRule="auto"/>
        <w:ind w:left="360" w:hanging="0"/>
        <w:jc w:val="left"/>
      </w:pPr>
      <w:r>
        <w:rPr>
          <w:rFonts w:ascii="Arial" w:cs="Arial" w:eastAsia="Arial" w:hAnsi="Arial"/>
          <w:b w:val="false"/>
          <w:bCs w:val="false"/>
          <w:color w:val="1A1A1A"/>
          <w:sz w:val="24"/>
          <w:szCs w:val="24"/>
        </w:rPr>
        <w:t xml:space="preserve">•  A description of what happened, including the date of the breach and the date of discovery;</w:t>
      </w:r>
    </w:p>
    <w:p>
      <w:pPr>
        <w:spacing w:after="60" w:before="60" w:line="276" w:lineRule="auto"/>
        <w:ind w:left="360" w:hanging="0"/>
        <w:jc w:val="left"/>
      </w:pPr>
      <w:r>
        <w:rPr>
          <w:rFonts w:ascii="Arial" w:cs="Arial" w:eastAsia="Arial" w:hAnsi="Arial"/>
          <w:b w:val="false"/>
          <w:bCs w:val="false"/>
          <w:color w:val="1A1A1A"/>
          <w:sz w:val="24"/>
          <w:szCs w:val="24"/>
        </w:rPr>
        <w:t xml:space="preserve">•  The types of nonpublic personal information that were involved (e.g., name, Social Security number, account number, financial information);</w:t>
      </w:r>
    </w:p>
    <w:p>
      <w:pPr>
        <w:spacing w:after="60" w:before="60" w:line="276" w:lineRule="auto"/>
        <w:ind w:left="360" w:hanging="0"/>
        <w:jc w:val="left"/>
      </w:pPr>
      <w:r>
        <w:rPr>
          <w:rFonts w:ascii="Arial" w:cs="Arial" w:eastAsia="Arial" w:hAnsi="Arial"/>
          <w:b w:val="false"/>
          <w:bCs w:val="false"/>
          <w:color w:val="1A1A1A"/>
          <w:sz w:val="24"/>
          <w:szCs w:val="24"/>
        </w:rPr>
        <w:t xml:space="preserve">•  The steps BWP is taking to investigate the breach, mitigate harm, and prevent recurrence;</w:t>
      </w:r>
    </w:p>
    <w:p>
      <w:pPr>
        <w:spacing w:after="60" w:before="60" w:line="276" w:lineRule="auto"/>
        <w:ind w:left="360" w:hanging="0"/>
        <w:jc w:val="left"/>
      </w:pPr>
      <w:r>
        <w:rPr>
          <w:rFonts w:ascii="Arial" w:cs="Arial" w:eastAsia="Arial" w:hAnsi="Arial"/>
          <w:b w:val="false"/>
          <w:bCs w:val="false"/>
          <w:color w:val="1A1A1A"/>
          <w:sz w:val="24"/>
          <w:szCs w:val="24"/>
        </w:rPr>
        <w:t xml:space="preserve">•  Steps that affected individuals can take to protect themselves from potential harm, including any free credit monitoring or identity protection services BWP is offering; and</w:t>
      </w:r>
    </w:p>
    <w:p>
      <w:pPr>
        <w:spacing w:after="60" w:before="60" w:line="276" w:lineRule="auto"/>
        <w:ind w:left="360" w:hanging="0"/>
        <w:jc w:val="left"/>
      </w:pPr>
      <w:r>
        <w:rPr>
          <w:rFonts w:ascii="Arial" w:cs="Arial" w:eastAsia="Arial" w:hAnsi="Arial"/>
          <w:b w:val="false"/>
          <w:bCs w:val="false"/>
          <w:color w:val="1A1A1A"/>
          <w:sz w:val="24"/>
          <w:szCs w:val="24"/>
        </w:rPr>
        <w:t xml:space="preserve">•  Contact information for BWP, including the name and telephone number of a person to contact for further information.</w:t>
      </w:r>
    </w:p>
    <w:p>
      <w:pPr>
        <w:spacing w:after="120" w:before="280" w:line="276" w:lineRule="auto"/>
      </w:pPr>
      <w:r>
        <w:rPr>
          <w:rFonts w:ascii="Arial" w:cs="Arial" w:eastAsia="Arial" w:hAnsi="Arial"/>
          <w:b/>
          <w:bCs/>
          <w:color w:val="2E6B9E"/>
          <w:sz w:val="28"/>
          <w:szCs w:val="28"/>
        </w:rPr>
        <w:t xml:space="preserve">Law Enforcement Delay</w:t>
      </w:r>
    </w:p>
    <w:p>
      <w:pPr>
        <w:spacing w:after="120" w:before="120" w:line="276" w:lineRule="auto"/>
        <w:jc w:val="left"/>
      </w:pPr>
      <w:r>
        <w:rPr>
          <w:rFonts w:ascii="Arial" w:cs="Arial" w:eastAsia="Arial" w:hAnsi="Arial"/>
          <w:b w:val="false"/>
          <w:bCs w:val="false"/>
          <w:i w:val="false"/>
          <w:iCs w:val="false"/>
          <w:color w:val="1A1A1A"/>
          <w:sz w:val="24"/>
          <w:szCs w:val="24"/>
        </w:rPr>
        <w:t xml:space="preserve">BWP may delay notification to affected individuals if a law enforcement agency determines in writing that such notification would impede a criminal investigation or jeopardize national security. In such cases, BWP will delay notification only for as long as required by the written law enforcement determination and will provide notification as soon as the law enforcement concern is resolved.</w:t>
      </w:r>
    </w:p>
    <w:p>
      <w:pPr>
        <w:spacing w:after="120" w:before="280" w:line="276" w:lineRule="auto"/>
      </w:pPr>
      <w:r>
        <w:rPr>
          <w:rFonts w:ascii="Arial" w:cs="Arial" w:eastAsia="Arial" w:hAnsi="Arial"/>
          <w:b/>
          <w:bCs/>
          <w:color w:val="2E6B9E"/>
          <w:sz w:val="28"/>
          <w:szCs w:val="28"/>
        </w:rPr>
        <w:t xml:space="preserve">CCO Responsibility and Record Retention</w:t>
      </w:r>
    </w:p>
    <w:p>
      <w:pPr>
        <w:spacing w:after="120" w:before="120" w:line="276" w:lineRule="auto"/>
        <w:jc w:val="left"/>
      </w:pPr>
      <w:r>
        <w:rPr>
          <w:rFonts w:ascii="Arial" w:cs="Arial" w:eastAsia="Arial" w:hAnsi="Arial"/>
          <w:b w:val="false"/>
          <w:bCs w:val="false"/>
          <w:i w:val="false"/>
          <w:iCs w:val="false"/>
          <w:color w:val="1A1A1A"/>
          <w:sz w:val="24"/>
          <w:szCs w:val="24"/>
        </w:rPr>
        <w:t xml:space="preserve">Jim Kilgore, CFP®, Chief Compliance Officer, is responsible for overseeing BWP’s breach notification process, including: (1) determining whether a reportable breach has occurred; (2) directing the preparation and delivery of required notifications; (3) maintaining records of all breach incidents and notifications; and (4) coordinating with law enforcement and regulators as necessary.</w:t>
      </w:r>
    </w:p>
    <w:p>
      <w:pPr>
        <w:spacing w:after="120" w:before="120" w:line="276" w:lineRule="auto"/>
        <w:jc w:val="left"/>
      </w:pPr>
      <w:r>
        <w:rPr>
          <w:rFonts w:ascii="Arial" w:cs="Arial" w:eastAsia="Arial" w:hAnsi="Arial"/>
          <w:b w:val="false"/>
          <w:bCs w:val="false"/>
          <w:i w:val="false"/>
          <w:iCs w:val="false"/>
          <w:color w:val="1A1A1A"/>
          <w:sz w:val="24"/>
          <w:szCs w:val="24"/>
        </w:rPr>
        <w:t xml:space="preserve">BWP will retain records relating to each security breach incident, including documentation of the discovery, assessment, notification actions taken, and any law enforcement coordination, for a minimum of five (5) years from the date of the incident.</w:t>
      </w:r>
    </w:p>
    <w:p>
      <w:pPr>
        <w:pBdr>
          <w:bottom w:val="single" w:color="1B3A5C" w:sz="4" w:space="4"/>
        </w:pBdr>
        <w:spacing w:after="160" w:before="360" w:line="276" w:lineRule="auto"/>
      </w:pPr>
      <w:r>
        <w:rPr>
          <w:rFonts w:ascii="Arial" w:cs="Arial" w:eastAsia="Arial" w:hAnsi="Arial"/>
          <w:b/>
          <w:bCs/>
          <w:color w:val="1B3A5C"/>
          <w:sz w:val="32"/>
          <w:szCs w:val="32"/>
        </w:rPr>
        <w:t xml:space="preserve">Delivery of This Privacy Notice</w:t>
      </w:r>
    </w:p>
    <w:p>
      <w:pPr>
        <w:spacing w:after="120" w:before="120" w:line="276" w:lineRule="auto"/>
        <w:jc w:val="left"/>
      </w:pPr>
      <w:r>
        <w:rPr>
          <w:rFonts w:ascii="Arial" w:cs="Arial" w:eastAsia="Arial" w:hAnsi="Arial"/>
          <w:b w:val="false"/>
          <w:bCs w:val="false"/>
          <w:i w:val="false"/>
          <w:iCs w:val="false"/>
          <w:color w:val="1A1A1A"/>
          <w:sz w:val="24"/>
          <w:szCs w:val="24"/>
        </w:rPr>
        <w:t xml:space="preserve">This Privacy Policy is delivered to new clients at or before the time of entering into an advisory agreement, and annually thereafter. Under the FAST Act (Fixing America’s Surface Transportation Act of 2015), annual delivery is not required if: (i) BWP has not changed its policies and practices since the last delivery, and (ii) BWP does not share NPPI with nonaffiliated third parties in a manner that triggers opt-out rights. BWP will document delivery of this notice for each client.</w:t>
      </w:r>
    </w:p>
    <w:p>
      <w:pPr>
        <w:spacing w:after="120" w:before="120" w:line="276" w:lineRule="auto"/>
        <w:jc w:val="left"/>
      </w:pPr>
      <w:r>
        <w:rPr>
          <w:rFonts w:ascii="Arial" w:cs="Arial" w:eastAsia="Arial" w:hAnsi="Arial"/>
          <w:b w:val="false"/>
          <w:bCs w:val="false"/>
          <w:i w:val="false"/>
          <w:iCs w:val="false"/>
          <w:color w:val="1A1A1A"/>
          <w:sz w:val="24"/>
          <w:szCs w:val="24"/>
        </w:rPr>
        <w:t xml:space="preserve">In any year in which the FAST Act exception applies, BWP will make the current Privacy Policy available on its website and will inform clients how they can access it. If BWP’s information-sharing practices change in a manner that would require opt-out rights, BWP will send a revised Privacy Notice and opt-out form to all affected clients no later than thirty (30) days before the change takes effect.</w:t>
      </w:r>
    </w:p>
    <w:p>
      <w:pPr>
        <w:pBdr>
          <w:bottom w:val="single" w:color="1B3A5C" w:sz="4" w:space="4"/>
        </w:pBdr>
        <w:spacing w:after="160" w:before="360" w:line="276" w:lineRule="auto"/>
      </w:pPr>
      <w:r>
        <w:rPr>
          <w:rFonts w:ascii="Arial" w:cs="Arial" w:eastAsia="Arial" w:hAnsi="Arial"/>
          <w:b/>
          <w:bCs/>
          <w:color w:val="1B3A5C"/>
          <w:sz w:val="32"/>
          <w:szCs w:val="32"/>
        </w:rPr>
        <w:t xml:space="preserve">Former Clients</w:t>
      </w:r>
    </w:p>
    <w:p>
      <w:pPr>
        <w:spacing w:after="120" w:before="120" w:line="276" w:lineRule="auto"/>
        <w:jc w:val="left"/>
      </w:pPr>
      <w:r>
        <w:rPr>
          <w:rFonts w:ascii="Arial" w:cs="Arial" w:eastAsia="Arial" w:hAnsi="Arial"/>
          <w:b w:val="false"/>
          <w:bCs w:val="false"/>
          <w:i w:val="false"/>
          <w:iCs w:val="false"/>
          <w:color w:val="1A1A1A"/>
          <w:sz w:val="24"/>
          <w:szCs w:val="24"/>
        </w:rPr>
        <w:t xml:space="preserve">Even if we cease to provide you with financial services, our Privacy Policy will continue to apply to you, and we will continue to treat your nonpublic personal information with strict confidentiality. We maintain all records regarding all former clients for the retention period required by law.</w:t>
      </w:r>
    </w:p>
    <w:p>
      <w:pPr>
        <w:pBdr>
          <w:bottom w:val="single" w:color="1B3A5C" w:sz="4" w:space="4"/>
        </w:pBdr>
        <w:spacing w:after="160" w:before="360" w:line="276" w:lineRule="auto"/>
      </w:pPr>
      <w:r>
        <w:rPr>
          <w:rFonts w:ascii="Arial" w:cs="Arial" w:eastAsia="Arial" w:hAnsi="Arial"/>
          <w:b/>
          <w:bCs/>
          <w:color w:val="1B3A5C"/>
          <w:sz w:val="32"/>
          <w:szCs w:val="32"/>
        </w:rPr>
        <w:t xml:space="preserve">Contact Information</w:t>
      </w:r>
    </w:p>
    <w:p>
      <w:pPr>
        <w:spacing w:after="120" w:before="120" w:line="276" w:lineRule="auto"/>
        <w:jc w:val="left"/>
      </w:pPr>
      <w:r>
        <w:rPr>
          <w:rFonts w:ascii="Arial" w:cs="Arial" w:eastAsia="Arial" w:hAnsi="Arial"/>
          <w:b w:val="false"/>
          <w:bCs w:val="false"/>
          <w:i w:val="false"/>
          <w:iCs w:val="false"/>
          <w:color w:val="1A1A1A"/>
          <w:sz w:val="24"/>
          <w:szCs w:val="24"/>
        </w:rPr>
        <w:t xml:space="preserve">Clients are encouraged to discuss any questions regarding privacy policies and procedures directly with Jim Kilgore, CFP®, Chief Compliance Officer of BWP. Please contact Jim Kilgore, CFP®, at (937) 434-1790 or at our principal office: 203 W Franklin St, Dayton, OH 45459.</w:t>
      </w:r>
    </w:p>
    <w:p>
      <w:pPr>
        <w:pBdr>
          <w:bottom w:val="single" w:color="1B3A5C" w:sz="6" w:space="2"/>
        </w:pBdr>
        <w:spacing w:after="120" w:before="120"/>
      </w:pPr>
      <w:r>
        <w:t xml:space="preserve"/>
      </w:r>
    </w:p>
    <w:p>
      <w:pPr>
        <w:spacing w:after="80" w:before="120"/>
        <w:jc w:val="center"/>
      </w:pPr>
      <w:r>
        <w:rPr>
          <w:rFonts w:ascii="Arial" w:cs="Arial" w:eastAsia="Arial" w:hAnsi="Arial"/>
          <w:i/>
          <w:iCs/>
          <w:color w:val="666666"/>
          <w:sz w:val="20"/>
          <w:szCs w:val="20"/>
        </w:rPr>
        <w:t xml:space="preserve">Version 04.2026  |  Effective Date: April 13, 2026  |  Supersedes v.01.2026</w:t>
      </w:r>
    </w:p>
    <w:p>
      <w:pPr>
        <w:spacing w:after="60" w:before="60"/>
        <w:jc w:val="center"/>
      </w:pPr>
      <w:r>
        <w:rPr>
          <w:rFonts w:ascii="Arial" w:cs="Arial" w:eastAsia="Arial" w:hAnsi="Arial"/>
          <w:i/>
          <w:iCs/>
          <w:color w:val="666666"/>
          <w:sz w:val="18"/>
          <w:szCs w:val="18"/>
        </w:rPr>
        <w:t xml:space="preserve">Buckeye Wealth Partners LLC  |  CRD# 126428  |  203 W Franklin St, Dayton, OH 45459  |  (937) 434-1790</w:t>
      </w:r>
    </w:p>
    <w:p>
      <w:pPr>
        <w:spacing w:after="120" w:before="60"/>
        <w:jc w:val="center"/>
      </w:pPr>
      <w:r>
        <w:rPr>
          <w:rFonts w:ascii="Arial" w:cs="Arial" w:eastAsia="Arial" w:hAnsi="Arial"/>
          <w:i/>
          <w:iCs/>
          <w:color w:val="666666"/>
          <w:sz w:val="18"/>
          <w:szCs w:val="18"/>
        </w:rPr>
        <w:t xml:space="preserve">Issued pursuant to Regulation S-P (17 CFR Part 248) and Ohio privacy law.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s>
      <w:jc w:val="left"/>
    </w:pPr>
    <w:r>
      <w:rPr>
        <w:rFonts w:ascii="Arial" w:cs="Arial" w:eastAsia="Arial" w:hAnsi="Arial"/>
        <w:color w:val="888888"/>
        <w:sz w:val="16"/>
        <w:szCs w:val="16"/>
      </w:rPr>
      <w:t xml:space="preserve">Privacy Policy  |  v.04.2026</w:t>
    </w:r>
    <w:r>
      <w:rPr>
        <w:rFonts w:ascii="Arial" w:cs="Arial" w:eastAsia="Arial" w:hAnsi="Arial"/>
        <w:sz w:val="16"/>
        <w:szCs w:val="16"/>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 — Buckeye Wealth Partners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2026-04-13T13:40:08.248Z</dcterms:created>
  <dcterms:modified xsi:type="dcterms:W3CDTF">2026-04-13T13:40:08.249Z</dcterms:modified>
</cp:coreProperties>
</file>

<file path=docProps/custom.xml><?xml version="1.0" encoding="utf-8"?>
<Properties xmlns="http://schemas.openxmlformats.org/officeDocument/2006/custom-properties" xmlns:vt="http://schemas.openxmlformats.org/officeDocument/2006/docPropsVTypes"/>
</file>