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240" w:before="1440"/>
        <w:jc w:val="center"/>
      </w:pPr>
      <w:r>
        <w:rPr>
          <w:rFonts w:ascii="Arial" w:cs="Arial" w:eastAsia="Arial" w:hAnsi="Arial"/>
          <w:b/>
          <w:bCs/>
          <w:color w:val="1B3A5C"/>
          <w:sz w:val="36"/>
          <w:szCs w:val="36"/>
        </w:rPr>
        <w:t xml:space="preserve">BUCKEYE WEALTH PARTNERS LLC</w:t>
      </w:r>
    </w:p>
    <w:p>
      <w:pPr>
        <w:keepNext/>
        <w:keepLines/>
        <w:spacing w:after="200"/>
        <w:jc w:val="center"/>
      </w:pPr>
      <w:r>
        <w:rPr>
          <w:rFonts w:ascii="Arial" w:cs="Arial" w:eastAsia="Arial" w:hAnsi="Arial"/>
          <w:b/>
          <w:bCs/>
          <w:color w:val="1B3A5C"/>
          <w:sz w:val="32"/>
          <w:szCs w:val="32"/>
        </w:rPr>
        <w:t xml:space="preserve">Form ADV Part 2A — Firm Brochure</w:t>
      </w:r>
    </w:p>
    <w:p>
      <w:pPr>
        <w:spacing w:after="160"/>
        <w:jc w:val="center"/>
      </w:pPr>
      <w:r>
        <w:rPr>
          <w:rFonts w:ascii="Arial" w:cs="Arial" w:eastAsia="Arial" w:hAnsi="Arial"/>
          <w:color w:val="666666"/>
          <w:sz w:val="24"/>
          <w:szCs w:val="24"/>
        </w:rPr>
        <w:t xml:space="preserve">Version: v.04.2026  |  Effective Date: April 13, 2026</w:t>
      </w:r>
    </w:p>
    <w:p>
      <w:pPr>
        <w:spacing w:after="120"/>
        <w:jc w:val="center"/>
      </w:pPr>
      <w:r>
        <w:rPr>
          <w:rFonts w:ascii="Arial" w:cs="Arial" w:eastAsia="Arial" w:hAnsi="Arial"/>
          <w:i/>
          <w:iCs/>
          <w:color w:val="666666"/>
          <w:sz w:val="22"/>
          <w:szCs w:val="22"/>
        </w:rPr>
        <w:t xml:space="preserve">Supersedes Form ADV Part 2A dated 3/5/2026</w:t>
      </w:r>
    </w:p>
    <w:p>
      <w:pPr>
        <w:pBdr>
          <w:bottom w:color="CCCCCC" w:sz="6" w:space="1"/>
        </w:pBdr>
        <w:spacing w:after="160" w:before="160"/>
      </w:pPr>
    </w:p>
    <w:p>
      <w:pPr>
        <w:spacing w:after="120" w:before="240"/>
        <w:jc w:val="center"/>
      </w:pPr>
      <w:r>
        <w:rPr>
          <w:rFonts w:ascii="Arial" w:cs="Arial" w:eastAsia="Arial" w:hAnsi="Arial"/>
          <w:color w:val="666666"/>
          <w:sz w:val="24"/>
          <w:szCs w:val="24"/>
        </w:rPr>
        <w:t xml:space="preserve">203 W Franklin St, Dayton, OH 45459  |  (937) 434-1790  |  www.buckeyewealthpartners.com</w:t>
      </w:r>
    </w:p>
    <w:p>
      <w:pPr>
        <w:spacing w:after="120"/>
        <w:jc w:val="center"/>
      </w:pPr>
      <w:r>
        <w:rPr>
          <w:rFonts w:ascii="Arial" w:cs="Arial" w:eastAsia="Arial" w:hAnsi="Arial"/>
          <w:color w:val="666666"/>
          <w:sz w:val="24"/>
          <w:szCs w:val="24"/>
        </w:rPr>
        <w:t xml:space="preserve">CRD# 126428  |  Ohio State-Registered RIA  |  jim@buckeyewealthpartners.com</w:t>
      </w:r>
    </w:p>
    <w:p>
      <w:pPr>
        <w:spacing w:after="240" w:before="360"/>
        <w:jc w:val="center"/>
      </w:pPr>
      <w:r>
        <w:rPr>
          <w:rFonts w:ascii="Arial" w:cs="Arial" w:eastAsia="Arial" w:hAnsi="Arial"/>
          <w:i/>
          <w:iCs/>
          <w:color w:val="666666"/>
          <w:sz w:val="20"/>
          <w:szCs w:val="20"/>
        </w:rPr>
        <w:t xml:space="preserve">This Brochure provides information about the qualifications and business practices of BUCKEYE WEALTH PARTNERS. The information in this Brochure has not been approved or verified by the United States Securities and Exchange Commission or by any state securities authority. BUCKEYE WEALTH PARTNERS, LLC is a registered investment adviser in the State of Ohio. Registration does not imply a certain level of skill or training.</w:t>
      </w:r>
    </w:p>
    <w:p>
      <w:pPr>
        <w:spacing w:after="240"/>
        <w:jc w:val="center"/>
      </w:pPr>
      <w:r>
        <w:rPr>
          <w:rFonts w:ascii="Arial" w:cs="Arial" w:eastAsia="Arial" w:hAnsi="Arial"/>
          <w:i/>
          <w:iCs/>
          <w:color w:val="666666"/>
          <w:sz w:val="20"/>
          <w:szCs w:val="20"/>
        </w:rPr>
        <w:t xml:space="preserve">Additional information is also available on the SEC's website at www.adviserinfo.sec.gov using CRD# 126428.</w:t>
      </w:r>
    </w:p>
    <w:p>
      <w:r>
        <w:br w:type="page"/>
      </w:r>
    </w:p>
    <w:p>
      <w:pPr>
        <w:pStyle w:val="Heading1"/>
        <w:spacing w:after="160" w:before="360"/>
        <w:keepNext/>
        <w:keepLines/>
      </w:pPr>
      <w:r>
        <w:rPr>
          <w:rFonts w:ascii="Arial" w:cs="Arial" w:eastAsia="Arial" w:hAnsi="Arial"/>
          <w:b/>
          <w:bCs/>
          <w:color w:val="1B3A5C"/>
          <w:sz w:val="32"/>
          <w:szCs w:val="32"/>
        </w:rPr>
        <w:t xml:space="preserve">Item 2: Material Changes</w:t>
      </w:r>
    </w:p>
    <w:p>
      <w:pPr>
        <w:spacing w:after="120" w:line="276" w:lineRule="auto"/>
      </w:pPr>
      <w:r>
        <w:rPr>
          <w:rFonts w:ascii="Arial" w:cs="Arial" w:eastAsia="Arial" w:hAnsi="Arial"/>
          <w:color w:val="1A1A1A"/>
          <w:sz w:val="24"/>
          <w:szCs w:val="24"/>
        </w:rPr>
        <w:t xml:space="preserve">The last annual update of this Brochure was filed on February 17, 2025. The following material changes have been made to this version (v.04.2026, effective April 13, 2026):</w:t>
      </w:r>
    </w:p>
    <w:p>
      <w:pPr>
        <w:pStyle w:val="ListParagraph"/>
        <w:numPr>
          <w:ilvl w:val="0"/>
          <w:numId w:val="1"/>
        </w:numPr>
        <w:spacing w:after="80" w:line="276" w:lineRule="auto"/>
      </w:pPr>
      <w:r>
        <w:rPr>
          <w:rFonts w:ascii="Arial" w:cs="Arial" w:eastAsia="Arial" w:hAnsi="Arial"/>
          <w:color w:val="1A1A1A"/>
          <w:sz w:val="24"/>
          <w:szCs w:val="24"/>
        </w:rPr>
        <w:t xml:space="preserve">Items 4 &amp; 5: The Advisor has added tax services. Please refer to Item 4 for additional information.</w:t>
      </w:r>
    </w:p>
    <w:p>
      <w:pPr>
        <w:pStyle w:val="ListParagraph"/>
        <w:numPr>
          <w:ilvl w:val="0"/>
          <w:numId w:val="1"/>
        </w:numPr>
        <w:spacing w:after="80" w:line="276" w:lineRule="auto"/>
      </w:pPr>
      <w:r>
        <w:rPr>
          <w:rFonts w:ascii="Arial" w:cs="Arial" w:eastAsia="Arial" w:hAnsi="Arial"/>
          <w:color w:val="1A1A1A"/>
          <w:sz w:val="24"/>
          <w:szCs w:val="24"/>
        </w:rPr>
        <w:t xml:space="preserve">Item 1.B: The Advisor has changed the name from 401 Advisor to Buckeye Wealth Partners, LLC.</w:t>
      </w:r>
    </w:p>
    <w:p>
      <w:pPr>
        <w:pStyle w:val="ListParagraph"/>
        <w:numPr>
          <w:ilvl w:val="0"/>
          <w:numId w:val="1"/>
        </w:numPr>
        <w:spacing w:after="80" w:line="276" w:lineRule="auto"/>
      </w:pPr>
      <w:r>
        <w:rPr>
          <w:rFonts w:ascii="Arial" w:cs="Arial" w:eastAsia="Arial" w:hAnsi="Arial"/>
          <w:color w:val="1A1A1A"/>
          <w:sz w:val="24"/>
          <w:szCs w:val="24"/>
        </w:rPr>
        <w:t xml:space="preserve">Item 10: Corrected the Goldman Sachs Custody Solutions parenthetical reference.</w:t>
      </w:r>
    </w:p>
    <w:p>
      <w:pPr>
        <w:pStyle w:val="ListParagraph"/>
        <w:numPr>
          <w:ilvl w:val="0"/>
          <w:numId w:val="1"/>
        </w:numPr>
        <w:spacing w:after="80" w:line="276" w:lineRule="auto"/>
      </w:pPr>
      <w:r>
        <w:rPr>
          <w:rFonts w:ascii="Arial" w:cs="Arial" w:eastAsia="Arial" w:hAnsi="Arial"/>
          <w:color w:val="1A1A1A"/>
          <w:sz w:val="24"/>
          <w:szCs w:val="24"/>
        </w:rPr>
        <w:t xml:space="preserve">Item 10: Updated the [NAME] placeholder reference for the licensed insurance agent disclosure.</w:t>
      </w:r>
    </w:p>
    <w:p>
      <w:pPr>
        <w:pStyle w:val="ListParagraph"/>
        <w:numPr>
          <w:ilvl w:val="0"/>
          <w:numId w:val="1"/>
        </w:numPr>
        <w:spacing w:after="80" w:line="276" w:lineRule="auto"/>
      </w:pPr>
      <w:r>
        <w:rPr>
          <w:rFonts w:ascii="Arial" w:cs="Arial" w:eastAsia="Arial" w:hAnsi="Arial"/>
          <w:color w:val="1A1A1A"/>
          <w:sz w:val="24"/>
          <w:szCs w:val="24"/>
        </w:rPr>
        <w:t xml:space="preserve">Item 13: Added Privacy, Cybersecurity, and Business Continuity disclosure paragraph.</w:t>
      </w:r>
    </w:p>
    <w:p>
      <w:pPr>
        <w:pStyle w:val="ListParagraph"/>
        <w:numPr>
          <w:ilvl w:val="0"/>
          <w:numId w:val="1"/>
        </w:numPr>
        <w:spacing w:after="80" w:line="276" w:lineRule="auto"/>
      </w:pPr>
      <w:r>
        <w:rPr>
          <w:rFonts w:ascii="Arial" w:cs="Arial" w:eastAsia="Arial" w:hAnsi="Arial"/>
          <w:color w:val="1A1A1A"/>
          <w:sz w:val="24"/>
          <w:szCs w:val="24"/>
        </w:rPr>
        <w:t xml:space="preserve">Part 2B Cover: Updated date from June 2025 to April 2026.</w:t>
      </w:r>
    </w:p>
    <w:p>
      <w:pPr>
        <w:spacing w:after="120" w:line="276" w:lineRule="auto"/>
      </w:pPr>
      <w:r>
        <w:rPr>
          <w:rFonts w:ascii="Arial" w:cs="Arial" w:eastAsia="Arial" w:hAnsi="Arial"/>
          <w:color w:val="1A1A1A"/>
          <w:sz w:val="24"/>
          <w:szCs w:val="24"/>
        </w:rPr>
        <w:t xml:space="preserve">If you would like a complete copy of this Brochure, please contact Jim Kilgore, CFP®, at (937) 434-1790 or jim@buckeyewealthpartners.com.</w:t>
      </w:r>
    </w:p>
    <w:p>
      <w:pPr>
        <w:pStyle w:val="Heading1"/>
        <w:spacing w:after="160" w:before="360"/>
        <w:keepNext/>
        <w:keepLines/>
      </w:pPr>
      <w:r>
        <w:rPr>
          <w:rFonts w:ascii="Arial" w:cs="Arial" w:eastAsia="Arial" w:hAnsi="Arial"/>
          <w:b/>
          <w:bCs/>
          <w:color w:val="1B3A5C"/>
          <w:sz w:val="32"/>
          <w:szCs w:val="32"/>
        </w:rPr>
        <w:t xml:space="preserve">Item 3: Table of Contents</w:t>
      </w:r>
    </w:p>
    <w:p>
      <w:pPr>
        <w:pStyle w:val="ListParagraph"/>
        <w:numPr>
          <w:ilvl w:val="0"/>
          <w:numId w:val="1"/>
        </w:numPr>
        <w:spacing w:after="80" w:line="276" w:lineRule="auto"/>
      </w:pPr>
      <w:r>
        <w:rPr>
          <w:rFonts w:ascii="Arial" w:cs="Arial" w:eastAsia="Arial" w:hAnsi="Arial"/>
          <w:color w:val="1A1A1A"/>
          <w:sz w:val="24"/>
          <w:szCs w:val="24"/>
        </w:rPr>
        <w:t xml:space="preserve">Item 4: Advisory Business</w:t>
      </w:r>
    </w:p>
    <w:p>
      <w:pPr>
        <w:pStyle w:val="ListParagraph"/>
        <w:numPr>
          <w:ilvl w:val="0"/>
          <w:numId w:val="1"/>
        </w:numPr>
        <w:spacing w:after="80" w:line="276" w:lineRule="auto"/>
      </w:pPr>
      <w:r>
        <w:rPr>
          <w:rFonts w:ascii="Arial" w:cs="Arial" w:eastAsia="Arial" w:hAnsi="Arial"/>
          <w:color w:val="1A1A1A"/>
          <w:sz w:val="24"/>
          <w:szCs w:val="24"/>
        </w:rPr>
        <w:t xml:space="preserve">Item 5: Fees and Compensation</w:t>
      </w:r>
    </w:p>
    <w:p>
      <w:pPr>
        <w:pStyle w:val="ListParagraph"/>
        <w:numPr>
          <w:ilvl w:val="0"/>
          <w:numId w:val="1"/>
        </w:numPr>
        <w:spacing w:after="80" w:line="276" w:lineRule="auto"/>
      </w:pPr>
      <w:r>
        <w:rPr>
          <w:rFonts w:ascii="Arial" w:cs="Arial" w:eastAsia="Arial" w:hAnsi="Arial"/>
          <w:color w:val="1A1A1A"/>
          <w:sz w:val="24"/>
          <w:szCs w:val="24"/>
        </w:rPr>
        <w:t xml:space="preserve">Item 6: Performance-Based Fees and Side-By-Side Management</w:t>
      </w:r>
    </w:p>
    <w:p>
      <w:pPr>
        <w:pStyle w:val="ListParagraph"/>
        <w:numPr>
          <w:ilvl w:val="0"/>
          <w:numId w:val="1"/>
        </w:numPr>
        <w:spacing w:after="80" w:line="276" w:lineRule="auto"/>
      </w:pPr>
      <w:r>
        <w:rPr>
          <w:rFonts w:ascii="Arial" w:cs="Arial" w:eastAsia="Arial" w:hAnsi="Arial"/>
          <w:color w:val="1A1A1A"/>
          <w:sz w:val="24"/>
          <w:szCs w:val="24"/>
        </w:rPr>
        <w:t xml:space="preserve">Item 7: Types of Clients</w:t>
      </w:r>
    </w:p>
    <w:p>
      <w:pPr>
        <w:pStyle w:val="ListParagraph"/>
        <w:numPr>
          <w:ilvl w:val="0"/>
          <w:numId w:val="1"/>
        </w:numPr>
        <w:spacing w:after="80" w:line="276" w:lineRule="auto"/>
      </w:pPr>
      <w:r>
        <w:rPr>
          <w:rFonts w:ascii="Arial" w:cs="Arial" w:eastAsia="Arial" w:hAnsi="Arial"/>
          <w:color w:val="1A1A1A"/>
          <w:sz w:val="24"/>
          <w:szCs w:val="24"/>
        </w:rPr>
        <w:t xml:space="preserve">Item 8: Methods of Analysis, Investment Strategies, and Risk of Loss</w:t>
      </w:r>
    </w:p>
    <w:p>
      <w:pPr>
        <w:pStyle w:val="ListParagraph"/>
        <w:numPr>
          <w:ilvl w:val="0"/>
          <w:numId w:val="1"/>
        </w:numPr>
        <w:spacing w:after="80" w:line="276" w:lineRule="auto"/>
      </w:pPr>
      <w:r>
        <w:rPr>
          <w:rFonts w:ascii="Arial" w:cs="Arial" w:eastAsia="Arial" w:hAnsi="Arial"/>
          <w:color w:val="1A1A1A"/>
          <w:sz w:val="24"/>
          <w:szCs w:val="24"/>
        </w:rPr>
        <w:t xml:space="preserve">Item 9: Disciplinary Information</w:t>
      </w:r>
    </w:p>
    <w:p>
      <w:pPr>
        <w:pStyle w:val="ListParagraph"/>
        <w:numPr>
          <w:ilvl w:val="0"/>
          <w:numId w:val="1"/>
        </w:numPr>
        <w:spacing w:after="80" w:line="276" w:lineRule="auto"/>
      </w:pPr>
      <w:r>
        <w:rPr>
          <w:rFonts w:ascii="Arial" w:cs="Arial" w:eastAsia="Arial" w:hAnsi="Arial"/>
          <w:color w:val="1A1A1A"/>
          <w:sz w:val="24"/>
          <w:szCs w:val="24"/>
        </w:rPr>
        <w:t xml:space="preserve">Item 10: Other Financial Industry Activities and Affiliations</w:t>
      </w:r>
    </w:p>
    <w:p>
      <w:pPr>
        <w:pStyle w:val="ListParagraph"/>
        <w:numPr>
          <w:ilvl w:val="0"/>
          <w:numId w:val="1"/>
        </w:numPr>
        <w:spacing w:after="80" w:line="276" w:lineRule="auto"/>
      </w:pPr>
      <w:r>
        <w:rPr>
          <w:rFonts w:ascii="Arial" w:cs="Arial" w:eastAsia="Arial" w:hAnsi="Arial"/>
          <w:color w:val="1A1A1A"/>
          <w:sz w:val="24"/>
          <w:szCs w:val="24"/>
        </w:rPr>
        <w:t xml:space="preserve">Item 11: Code of Ethics, Participation or Interest in Client Transactions and Personal Trading</w:t>
      </w:r>
    </w:p>
    <w:p>
      <w:pPr>
        <w:pStyle w:val="ListParagraph"/>
        <w:numPr>
          <w:ilvl w:val="0"/>
          <w:numId w:val="1"/>
        </w:numPr>
        <w:spacing w:after="80" w:line="276" w:lineRule="auto"/>
      </w:pPr>
      <w:r>
        <w:rPr>
          <w:rFonts w:ascii="Arial" w:cs="Arial" w:eastAsia="Arial" w:hAnsi="Arial"/>
          <w:color w:val="1A1A1A"/>
          <w:sz w:val="24"/>
          <w:szCs w:val="24"/>
        </w:rPr>
        <w:t xml:space="preserve">Item 12: Brokerage Practices</w:t>
      </w:r>
    </w:p>
    <w:p>
      <w:pPr>
        <w:pStyle w:val="ListParagraph"/>
        <w:numPr>
          <w:ilvl w:val="0"/>
          <w:numId w:val="1"/>
        </w:numPr>
        <w:spacing w:after="80" w:line="276" w:lineRule="auto"/>
      </w:pPr>
      <w:r>
        <w:rPr>
          <w:rFonts w:ascii="Arial" w:cs="Arial" w:eastAsia="Arial" w:hAnsi="Arial"/>
          <w:color w:val="1A1A1A"/>
          <w:sz w:val="24"/>
          <w:szCs w:val="24"/>
        </w:rPr>
        <w:t xml:space="preserve">Item 13: Review of Accounts</w:t>
      </w:r>
    </w:p>
    <w:p>
      <w:pPr>
        <w:pStyle w:val="ListParagraph"/>
        <w:numPr>
          <w:ilvl w:val="0"/>
          <w:numId w:val="1"/>
        </w:numPr>
        <w:spacing w:after="80" w:line="276" w:lineRule="auto"/>
      </w:pPr>
      <w:r>
        <w:rPr>
          <w:rFonts w:ascii="Arial" w:cs="Arial" w:eastAsia="Arial" w:hAnsi="Arial"/>
          <w:color w:val="1A1A1A"/>
          <w:sz w:val="24"/>
          <w:szCs w:val="24"/>
        </w:rPr>
        <w:t xml:space="preserve">Item 14: Client Referrals and Other Compensation</w:t>
      </w:r>
    </w:p>
    <w:p>
      <w:pPr>
        <w:pStyle w:val="ListParagraph"/>
        <w:numPr>
          <w:ilvl w:val="0"/>
          <w:numId w:val="1"/>
        </w:numPr>
        <w:spacing w:after="80" w:line="276" w:lineRule="auto"/>
      </w:pPr>
      <w:r>
        <w:rPr>
          <w:rFonts w:ascii="Arial" w:cs="Arial" w:eastAsia="Arial" w:hAnsi="Arial"/>
          <w:color w:val="1A1A1A"/>
          <w:sz w:val="24"/>
          <w:szCs w:val="24"/>
        </w:rPr>
        <w:t xml:space="preserve">Item 15: Custody</w:t>
      </w:r>
    </w:p>
    <w:p>
      <w:pPr>
        <w:pStyle w:val="ListParagraph"/>
        <w:numPr>
          <w:ilvl w:val="0"/>
          <w:numId w:val="1"/>
        </w:numPr>
        <w:spacing w:after="80" w:line="276" w:lineRule="auto"/>
      </w:pPr>
      <w:r>
        <w:rPr>
          <w:rFonts w:ascii="Arial" w:cs="Arial" w:eastAsia="Arial" w:hAnsi="Arial"/>
          <w:color w:val="1A1A1A"/>
          <w:sz w:val="24"/>
          <w:szCs w:val="24"/>
        </w:rPr>
        <w:t xml:space="preserve">Item 16: Investment Discretion</w:t>
      </w:r>
    </w:p>
    <w:p>
      <w:pPr>
        <w:pStyle w:val="ListParagraph"/>
        <w:numPr>
          <w:ilvl w:val="0"/>
          <w:numId w:val="1"/>
        </w:numPr>
        <w:spacing w:after="80" w:line="276" w:lineRule="auto"/>
      </w:pPr>
      <w:r>
        <w:rPr>
          <w:rFonts w:ascii="Arial" w:cs="Arial" w:eastAsia="Arial" w:hAnsi="Arial"/>
          <w:color w:val="1A1A1A"/>
          <w:sz w:val="24"/>
          <w:szCs w:val="24"/>
        </w:rPr>
        <w:t xml:space="preserve">Item 17: Voting Client Securities</w:t>
      </w:r>
    </w:p>
    <w:p>
      <w:pPr>
        <w:pStyle w:val="ListParagraph"/>
        <w:numPr>
          <w:ilvl w:val="0"/>
          <w:numId w:val="1"/>
        </w:numPr>
        <w:spacing w:after="80" w:line="276" w:lineRule="auto"/>
      </w:pPr>
      <w:r>
        <w:rPr>
          <w:rFonts w:ascii="Arial" w:cs="Arial" w:eastAsia="Arial" w:hAnsi="Arial"/>
          <w:color w:val="1A1A1A"/>
          <w:sz w:val="24"/>
          <w:szCs w:val="24"/>
        </w:rPr>
        <w:t xml:space="preserve">Item 18: Financial Information</w:t>
      </w:r>
    </w:p>
    <w:p>
      <w:pPr>
        <w:pStyle w:val="ListParagraph"/>
        <w:numPr>
          <w:ilvl w:val="0"/>
          <w:numId w:val="1"/>
        </w:numPr>
        <w:spacing w:after="80" w:line="276" w:lineRule="auto"/>
      </w:pPr>
      <w:r>
        <w:rPr>
          <w:rFonts w:ascii="Arial" w:cs="Arial" w:eastAsia="Arial" w:hAnsi="Arial"/>
          <w:color w:val="1A1A1A"/>
          <w:sz w:val="24"/>
          <w:szCs w:val="24"/>
        </w:rPr>
        <w:t xml:space="preserve">Item 19: Requirements for State-Registered Advisers</w:t>
      </w:r>
    </w:p>
    <w:p>
      <w:pPr>
        <w:pStyle w:val="ListParagraph"/>
        <w:numPr>
          <w:ilvl w:val="0"/>
          <w:numId w:val="1"/>
        </w:numPr>
        <w:spacing w:after="80" w:line="276" w:lineRule="auto"/>
      </w:pPr>
      <w:r>
        <w:rPr>
          <w:rFonts w:ascii="Arial" w:cs="Arial" w:eastAsia="Arial" w:hAnsi="Arial"/>
          <w:color w:val="1A1A1A"/>
          <w:sz w:val="24"/>
          <w:szCs w:val="24"/>
        </w:rPr>
        <w:t xml:space="preserve">Part 2B: Brochure Supplement — Jim Kilgore, CFP® &amp; William DeShurko</w:t>
      </w:r>
    </w:p>
    <w:p>
      <w:pPr>
        <w:pStyle w:val="Heading1"/>
        <w:spacing w:after="160" w:before="360"/>
        <w:keepNext/>
        <w:keepLines/>
      </w:pPr>
      <w:r>
        <w:rPr>
          <w:rFonts w:ascii="Arial" w:cs="Arial" w:eastAsia="Arial" w:hAnsi="Arial"/>
          <w:b/>
          <w:bCs/>
          <w:color w:val="1B3A5C"/>
          <w:sz w:val="32"/>
          <w:szCs w:val="32"/>
        </w:rPr>
        <w:t xml:space="preserve">Item 4: Advisory Business</w:t>
      </w:r>
    </w:p>
    <w:p>
      <w:pPr>
        <w:pStyle w:val="Heading2"/>
        <w:spacing w:after="120" w:before="280"/>
        <w:keepNext/>
        <w:keepLines/>
      </w:pPr>
      <w:r>
        <w:rPr>
          <w:rFonts w:ascii="Arial" w:cs="Arial" w:eastAsia="Arial" w:hAnsi="Arial"/>
          <w:b/>
          <w:bCs/>
          <w:color w:val="2E6B9E"/>
          <w:sz w:val="28"/>
          <w:szCs w:val="28"/>
        </w:rPr>
        <w:t xml:space="preserve">Description of Advisory Firm</w:t>
      </w:r>
    </w:p>
    <w:p>
      <w:pPr>
        <w:spacing w:after="120" w:line="276" w:lineRule="auto"/>
      </w:pPr>
      <w:r>
        <w:rPr>
          <w:rFonts w:ascii="Arial" w:cs="Arial" w:eastAsia="Arial" w:hAnsi="Arial"/>
          <w:color w:val="1A1A1A"/>
          <w:sz w:val="24"/>
          <w:szCs w:val="24"/>
        </w:rPr>
        <w:t xml:space="preserve">BUCKEYE WEALTH PARTNERS, LLC ("BWP") is an Investment Adviser principally located in the state of Ohio. We are a limited liability company founded as 401 Advisor in April 2003. BUCKEYE WEALTH PARTNERS, LLC became the registered name in May 2025. Jim Kilgore, CFP®, is the principal owner and Chief Compliance Officer ("CCO").</w:t>
      </w:r>
    </w:p>
    <w:p>
      <w:pPr>
        <w:spacing w:after="120" w:line="276" w:lineRule="auto"/>
      </w:pPr>
      <w:r>
        <w:rPr>
          <w:rFonts w:ascii="Arial" w:cs="Arial" w:eastAsia="Arial" w:hAnsi="Arial"/>
          <w:color w:val="1A1A1A"/>
          <w:sz w:val="24"/>
          <w:szCs w:val="24"/>
        </w:rPr>
        <w:t xml:space="preserve">As used in this brochure, the words "BWP", "we", "our firm", "Advisor" and "us" refer to BUCKEYE WEALTH PARTNERS, LLC and the words "you", "your" and "Client" refer to you as either a client or prospective client of our firm.</w:t>
      </w:r>
    </w:p>
    <w:p>
      <w:pPr>
        <w:pStyle w:val="Heading2"/>
        <w:spacing w:after="120" w:before="280"/>
        <w:keepNext/>
        <w:keepLines/>
      </w:pPr>
      <w:r>
        <w:rPr>
          <w:rFonts w:ascii="Arial" w:cs="Arial" w:eastAsia="Arial" w:hAnsi="Arial"/>
          <w:b/>
          <w:bCs/>
          <w:color w:val="2E6B9E"/>
          <w:sz w:val="28"/>
          <w:szCs w:val="28"/>
        </w:rPr>
        <w:t xml:space="preserve">Types of Advisory Services</w:t>
      </w:r>
    </w:p>
    <w:p>
      <w:pPr>
        <w:spacing w:after="120" w:line="276" w:lineRule="auto"/>
      </w:pPr>
      <w:r>
        <w:rPr>
          <w:rFonts w:ascii="Arial" w:cs="Arial" w:eastAsia="Arial" w:hAnsi="Arial"/>
          <w:color w:val="1A1A1A"/>
          <w:sz w:val="24"/>
          <w:szCs w:val="24"/>
        </w:rPr>
        <w:t xml:space="preserve">BWP is a fee-only firm, meaning we receive no compensation from anyone other than our Clients for our services. We offer wealth management, investment management, financial planning, and tax preparation services. From time to time, BWP recommends third-party professionals such as attorneys, accountants, tax advisors, insurance agents, or other financial professionals. Clients are never obligated to utilize any third-party professional we recommend. BWP is not affiliated with, nor does BWP receive any compensation from, third-party professionals we may recommend.</w:t>
      </w:r>
    </w:p>
    <w:p>
      <w:pPr>
        <w:pStyle w:val="Heading2"/>
        <w:spacing w:after="120" w:before="280"/>
        <w:keepNext/>
        <w:keepLines/>
      </w:pPr>
      <w:r>
        <w:rPr>
          <w:rFonts w:ascii="Arial" w:cs="Arial" w:eastAsia="Arial" w:hAnsi="Arial"/>
          <w:b/>
          <w:bCs/>
          <w:color w:val="2E6B9E"/>
          <w:sz w:val="28"/>
          <w:szCs w:val="28"/>
        </w:rPr>
        <w:t xml:space="preserve">Wealth Management Services</w:t>
      </w:r>
    </w:p>
    <w:p>
      <w:pPr>
        <w:spacing w:after="120" w:line="276" w:lineRule="auto"/>
      </w:pPr>
      <w:r>
        <w:rPr>
          <w:rFonts w:ascii="Arial" w:cs="Arial" w:eastAsia="Arial" w:hAnsi="Arial"/>
          <w:color w:val="1A1A1A"/>
          <w:sz w:val="24"/>
          <w:szCs w:val="24"/>
        </w:rPr>
        <w:t xml:space="preserve">Wealth Management encompasses investment management services and financial planning. Our firm provides continuous advice to a Client regarding the investment of Client funds based on the individual needs of the Client. Through personal discussions in which goals and objectives based on a Client’s particular circumstances are established, we develop a Client’s personal investment policy or an investment plan with an asset allocation target and create and manage a portfolio based on that policy and allocation targets. We will also review and discuss a Client’s prior investment history, as well as family composition and background. Account supervision is guided by the stated objectives of the Client (e.g., maximum capital appreciation, growth, income, or growth, and income), as well as risk tolerance and tax considerations.</w:t>
      </w:r>
    </w:p>
    <w:p>
      <w:pPr>
        <w:spacing w:after="120" w:line="276" w:lineRule="auto"/>
      </w:pPr>
      <w:r>
        <w:rPr>
          <w:rFonts w:ascii="Arial" w:cs="Arial" w:eastAsia="Arial" w:hAnsi="Arial"/>
          <w:color w:val="1A1A1A"/>
          <w:sz w:val="24"/>
          <w:szCs w:val="24"/>
        </w:rPr>
        <w:t xml:space="preserve">We primarily advise our Clients regarding investments in stocks, bonds, mutual funds, ETFs, U.S. government and municipal securities, and cash and cash equivalents. We may also provide advice regarding investments held in Client’s portfolio at the inception of our advisory relationship and/or other investment types not listed above, at the Client’s request.</w:t>
      </w:r>
    </w:p>
    <w:p>
      <w:pPr>
        <w:spacing w:after="120" w:line="276" w:lineRule="auto"/>
      </w:pPr>
      <w:r>
        <w:rPr>
          <w:rFonts w:ascii="Arial" w:cs="Arial" w:eastAsia="Arial" w:hAnsi="Arial"/>
          <w:color w:val="1A1A1A"/>
          <w:sz w:val="24"/>
          <w:szCs w:val="24"/>
        </w:rPr>
        <w:t xml:space="preserve">When we provide investment management services, Clients grant us limited authority to buy and sell securities on a discretionary basis. More information on our trading authority is explained in Item 16 of this Brochure. Clients may impose reasonable restrictions on investing in certain securities, types of securities, or industry sectors.</w:t>
      </w:r>
    </w:p>
    <w:p>
      <w:pPr>
        <w:spacing w:after="120" w:line="276" w:lineRule="auto"/>
      </w:pPr>
      <w:r>
        <w:rPr>
          <w:rFonts w:ascii="Arial" w:cs="Arial" w:eastAsia="Arial" w:hAnsi="Arial"/>
          <w:color w:val="1A1A1A"/>
          <w:sz w:val="24"/>
          <w:szCs w:val="24"/>
        </w:rPr>
        <w:t xml:space="preserve">At no additional fee and at Client’s election, BWP also provides the Client with a financial plan. A Client will be taken through establishing their goals and values around money. Clients will be required to provide pertinent information to help complete the following areas of analysis: net worth, cash flow, insurance, credit scores/reports, employee benefits, retirement planning, insurance, investments, college planning, and estate planning.</w:t>
      </w:r>
    </w:p>
    <w:p>
      <w:pPr>
        <w:pStyle w:val="Heading2"/>
        <w:spacing w:after="120" w:before="280"/>
        <w:keepNext/>
        <w:keepLines/>
      </w:pPr>
      <w:r>
        <w:rPr>
          <w:rFonts w:ascii="Arial" w:cs="Arial" w:eastAsia="Arial" w:hAnsi="Arial"/>
          <w:b/>
          <w:bCs/>
          <w:color w:val="2E6B9E"/>
          <w:sz w:val="28"/>
          <w:szCs w:val="28"/>
        </w:rPr>
        <w:t xml:space="preserve">Investment Management Services</w:t>
      </w:r>
    </w:p>
    <w:p>
      <w:pPr>
        <w:spacing w:after="120" w:line="276" w:lineRule="auto"/>
      </w:pPr>
      <w:r>
        <w:rPr>
          <w:rFonts w:ascii="Arial" w:cs="Arial" w:eastAsia="Arial" w:hAnsi="Arial"/>
          <w:color w:val="1A1A1A"/>
          <w:sz w:val="24"/>
          <w:szCs w:val="24"/>
        </w:rPr>
        <w:t xml:space="preserve">Our firm provides continuous advice to a Client regarding the investment of Client funds based on the individual needs of the Client. Through personal discussions in which goals and objectives based on a Client’s particular circumstances are established, we develop a Client’s personal investment policy or an investment plan with an asset allocation target and create and manage a portfolio based on that policy and allocation targets.</w:t>
      </w:r>
    </w:p>
    <w:p>
      <w:pPr>
        <w:pStyle w:val="Heading2"/>
        <w:spacing w:after="120" w:before="280"/>
        <w:keepNext/>
        <w:keepLines/>
      </w:pPr>
      <w:r>
        <w:rPr>
          <w:rFonts w:ascii="Arial" w:cs="Arial" w:eastAsia="Arial" w:hAnsi="Arial"/>
          <w:b/>
          <w:bCs/>
          <w:color w:val="2E6B9E"/>
          <w:sz w:val="28"/>
          <w:szCs w:val="28"/>
        </w:rPr>
        <w:t xml:space="preserve">Financial Planning Services</w:t>
      </w:r>
    </w:p>
    <w:p>
      <w:pPr>
        <w:spacing w:after="120" w:line="276" w:lineRule="auto"/>
      </w:pPr>
      <w:r>
        <w:rPr>
          <w:rFonts w:ascii="Arial" w:cs="Arial" w:eastAsia="Arial" w:hAnsi="Arial"/>
          <w:color w:val="1A1A1A"/>
          <w:sz w:val="24"/>
          <w:szCs w:val="24"/>
        </w:rPr>
        <w:t xml:space="preserve">Financial planning involves an evaluation of a Client’s current and future financial state by using currently known variables to predict future cash flows, asset values, and withdrawal plans. The key defining aspect of financial planning is that through the financial planning process, all questions, information, and analysis will be considered as they affect and are affected by the entire financial and life situation of the Client. Clients purchasing this service will receive a written report, providing the Client with a detailed financial plan designed to help achieve his or her stated financial goals and objectives.</w:t>
      </w:r>
    </w:p>
    <w:p>
      <w:pPr>
        <w:spacing w:after="120" w:line="276" w:lineRule="auto"/>
      </w:pPr>
      <w:r>
        <w:rPr>
          <w:rFonts w:ascii="Arial" w:cs="Arial" w:eastAsia="Arial" w:hAnsi="Arial"/>
          <w:color w:val="1A1A1A"/>
          <w:sz w:val="24"/>
          <w:szCs w:val="24"/>
        </w:rPr>
        <w:t xml:space="preserve">In general, the financial plan will address some or all of the following areas of concern: Business Planning, Cash Flow and Debt Management, College Savings, Employee Benefits Optimization, Estate Planning, Financial Goals, Insurance, Investment Analysis, Retirement Planning, Risk Management, and Tax Planning Strategies.</w:t>
      </w:r>
    </w:p>
    <w:p>
      <w:pPr>
        <w:pStyle w:val="Heading2"/>
        <w:spacing w:after="120" w:before="280"/>
        <w:keepNext/>
        <w:keepLines/>
      </w:pPr>
      <w:r>
        <w:rPr>
          <w:rFonts w:ascii="Arial" w:cs="Arial" w:eastAsia="Arial" w:hAnsi="Arial"/>
          <w:b/>
          <w:bCs/>
          <w:color w:val="2E6B9E"/>
          <w:sz w:val="28"/>
          <w:szCs w:val="28"/>
        </w:rPr>
        <w:t xml:space="preserve">Tax Preparation Services</w:t>
      </w:r>
    </w:p>
    <w:p>
      <w:pPr>
        <w:spacing w:after="120" w:line="276" w:lineRule="auto"/>
      </w:pPr>
      <w:r>
        <w:rPr>
          <w:rFonts w:ascii="Arial" w:cs="Arial" w:eastAsia="Arial" w:hAnsi="Arial"/>
          <w:color w:val="1A1A1A"/>
          <w:sz w:val="24"/>
          <w:szCs w:val="24"/>
        </w:rPr>
        <w:t xml:space="preserve">Tax preparation plays a critical role in optimizing financial strategies by ensuring compliance with tax laws while minimizing tax liability. We help individuals manage their tax preparation by handling their tax filing on their behalf. We offer guidance on deductions, credits, and future tax strategies. When engaging BWP for tax preparation, a separate tax preparation agreement fee agreement will be signed for that engagement.</w:t>
      </w:r>
    </w:p>
    <w:p>
      <w:pPr>
        <w:pStyle w:val="Heading2"/>
        <w:spacing w:after="120" w:before="280"/>
        <w:keepNext/>
        <w:keepLines/>
      </w:pPr>
      <w:r>
        <w:rPr>
          <w:rFonts w:ascii="Arial" w:cs="Arial" w:eastAsia="Arial" w:hAnsi="Arial"/>
          <w:b/>
          <w:bCs/>
          <w:color w:val="2E6B9E"/>
          <w:sz w:val="28"/>
          <w:szCs w:val="28"/>
        </w:rPr>
        <w:t xml:space="preserve">Ongoing and Project-Based Financial Planning</w:t>
      </w:r>
    </w:p>
    <w:p>
      <w:pPr>
        <w:spacing w:after="120" w:line="276" w:lineRule="auto"/>
      </w:pPr>
      <w:r>
        <w:rPr>
          <w:rFonts w:ascii="Arial" w:cs="Arial" w:eastAsia="Arial" w:hAnsi="Arial"/>
          <w:color w:val="1A1A1A"/>
          <w:sz w:val="24"/>
          <w:szCs w:val="24"/>
        </w:rPr>
        <w:t xml:space="preserve">Financial Planning Services are offered on a Project-Based and/or ongoing engagement basis. Ongoing Financial Planning involves working one-on-one with a financial planner over an extended period of time. Project-Based Financial Planning is available for Clients looking to address specific questions or issues on a limited scope one-time engagement.</w:t>
      </w:r>
    </w:p>
    <w:p>
      <w:pPr>
        <w:pStyle w:val="Heading2"/>
        <w:spacing w:after="120" w:before="280"/>
        <w:keepNext/>
        <w:keepLines/>
      </w:pPr>
      <w:r>
        <w:rPr>
          <w:rFonts w:ascii="Arial" w:cs="Arial" w:eastAsia="Arial" w:hAnsi="Arial"/>
          <w:b/>
          <w:bCs/>
          <w:color w:val="2E6B9E"/>
          <w:sz w:val="28"/>
          <w:szCs w:val="28"/>
        </w:rPr>
        <w:t xml:space="preserve">Retirement Plan Consulting</w:t>
      </w:r>
    </w:p>
    <w:p>
      <w:pPr>
        <w:spacing w:after="120" w:line="276" w:lineRule="auto"/>
      </w:pPr>
      <w:r>
        <w:rPr>
          <w:rFonts w:ascii="Arial" w:cs="Arial" w:eastAsia="Arial" w:hAnsi="Arial"/>
          <w:color w:val="1A1A1A"/>
          <w:sz w:val="24"/>
          <w:szCs w:val="24"/>
        </w:rPr>
        <w:t xml:space="preserve">Our firm provides retirement plan services to employer plan sponsors on an ongoing basis. Generally, such services consist of assisting employer plan sponsors or plan-named fiduciaries in establishing, monitoring, and reviewing their company’s participant-directed retirement plan. As the needs of the plan sponsor dictate, areas of advising could include: design of investment policy statement, investment review and recommendations, fee analysis, participant education, and vendor searches &amp; analysis.</w:t>
      </w:r>
    </w:p>
    <w:p>
      <w:pPr>
        <w:pStyle w:val="Heading2"/>
        <w:spacing w:after="120" w:before="280"/>
        <w:keepNext/>
        <w:keepLines/>
      </w:pPr>
      <w:r>
        <w:rPr>
          <w:rFonts w:ascii="Arial" w:cs="Arial" w:eastAsia="Arial" w:hAnsi="Arial"/>
          <w:b/>
          <w:bCs/>
          <w:color w:val="2E6B9E"/>
          <w:sz w:val="28"/>
          <w:szCs w:val="28"/>
        </w:rPr>
        <w:t xml:space="preserve">Retirement Plan Management</w:t>
      </w:r>
    </w:p>
    <w:p>
      <w:pPr>
        <w:spacing w:after="120" w:line="276" w:lineRule="auto"/>
      </w:pPr>
      <w:r>
        <w:rPr>
          <w:rFonts w:ascii="Arial" w:cs="Arial" w:eastAsia="Arial" w:hAnsi="Arial"/>
          <w:color w:val="1A1A1A"/>
          <w:sz w:val="24"/>
          <w:szCs w:val="24"/>
        </w:rPr>
        <w:t xml:space="preserve">Our firm provides retirement plan services to employer plan sponsors on an ongoing basis. Such services consist of assisting employer plan sponsors or plan-named fiduciaries in buying and selling securities within the Plan on a discretionary basis. In performing fiduciary services, we are acting as an “investment manager” as defined in section 3(38) of ERISA pursuant to section 402(c)(3) of ERISA.</w:t>
      </w:r>
    </w:p>
    <w:p>
      <w:pPr>
        <w:pStyle w:val="Heading2"/>
        <w:spacing w:after="120" w:before="280"/>
        <w:keepNext/>
        <w:keepLines/>
      </w:pPr>
      <w:r>
        <w:rPr>
          <w:rFonts w:ascii="Arial" w:cs="Arial" w:eastAsia="Arial" w:hAnsi="Arial"/>
          <w:b/>
          <w:bCs/>
          <w:color w:val="2E6B9E"/>
          <w:sz w:val="28"/>
          <w:szCs w:val="28"/>
        </w:rPr>
        <w:t xml:space="preserve">Educational Seminars / Speaking Engagements</w:t>
      </w:r>
    </w:p>
    <w:p>
      <w:pPr>
        <w:spacing w:after="120" w:line="276" w:lineRule="auto"/>
      </w:pPr>
      <w:r>
        <w:rPr>
          <w:rFonts w:ascii="Arial" w:cs="Arial" w:eastAsia="Arial" w:hAnsi="Arial"/>
          <w:color w:val="1A1A1A"/>
          <w:sz w:val="24"/>
          <w:szCs w:val="24"/>
        </w:rPr>
        <w:t xml:space="preserve">We may provide seminars for groups seeking general advice on investments and other areas of personal finance. These seminars are purely educational in nature and do not involve the sale of any investment products. Information presented will not be based on any individual’s need, nor does BWP provide individualized investment advice to attendees during these seminars.</w:t>
      </w:r>
    </w:p>
    <w:p>
      <w:pPr>
        <w:pStyle w:val="Heading2"/>
        <w:spacing w:after="120" w:before="280"/>
        <w:keepNext/>
        <w:keepLines/>
      </w:pPr>
      <w:r>
        <w:rPr>
          <w:rFonts w:ascii="Arial" w:cs="Arial" w:eastAsia="Arial" w:hAnsi="Arial"/>
          <w:b/>
          <w:bCs/>
          <w:color w:val="2E6B9E"/>
          <w:sz w:val="28"/>
          <w:szCs w:val="28"/>
        </w:rPr>
        <w:t xml:space="preserve">Client Tailored Services and Client Imposed Restrictions</w:t>
      </w:r>
    </w:p>
    <w:p>
      <w:pPr>
        <w:spacing w:after="120" w:line="276" w:lineRule="auto"/>
      </w:pPr>
      <w:r>
        <w:rPr>
          <w:rFonts w:ascii="Arial" w:cs="Arial" w:eastAsia="Arial" w:hAnsi="Arial"/>
          <w:color w:val="1A1A1A"/>
          <w:sz w:val="24"/>
          <w:szCs w:val="24"/>
        </w:rPr>
        <w:t xml:space="preserve">We tailor the delivery of our services to meet the individual needs of our Clients. We consult with Clients initially and on an ongoing basis, through the duration of their engagement with us, to determine risk tolerance, time horizon and other factors that may impact the Clients’ investment and/or planning needs. Clients are able to specify, within reason, any restrictions they would like to place as it pertains to individual securities and/or sectors that will be traded in their account/advised on, or recommended.</w:t>
      </w:r>
    </w:p>
    <w:p>
      <w:pPr>
        <w:pStyle w:val="Heading2"/>
        <w:spacing w:after="120" w:before="280"/>
        <w:keepNext/>
        <w:keepLines/>
      </w:pPr>
      <w:r>
        <w:rPr>
          <w:rFonts w:ascii="Arial" w:cs="Arial" w:eastAsia="Arial" w:hAnsi="Arial"/>
          <w:b/>
          <w:bCs/>
          <w:color w:val="2E6B9E"/>
          <w:sz w:val="28"/>
          <w:szCs w:val="28"/>
        </w:rPr>
        <w:t xml:space="preserve">Wrap Fee Programs</w:t>
      </w:r>
    </w:p>
    <w:p>
      <w:pPr>
        <w:spacing w:after="120" w:line="276" w:lineRule="auto"/>
      </w:pPr>
      <w:r>
        <w:rPr>
          <w:rFonts w:ascii="Arial" w:cs="Arial" w:eastAsia="Arial" w:hAnsi="Arial"/>
          <w:color w:val="1A1A1A"/>
          <w:sz w:val="24"/>
          <w:szCs w:val="24"/>
        </w:rPr>
        <w:t xml:space="preserve">We do not participate in wrap fee programs.</w:t>
      </w:r>
    </w:p>
    <w:p>
      <w:pPr>
        <w:pStyle w:val="Heading2"/>
        <w:spacing w:after="120" w:before="280"/>
        <w:keepNext/>
        <w:keepLines/>
      </w:pPr>
      <w:r>
        <w:rPr>
          <w:rFonts w:ascii="Arial" w:cs="Arial" w:eastAsia="Arial" w:hAnsi="Arial"/>
          <w:b/>
          <w:bCs/>
          <w:color w:val="2E6B9E"/>
          <w:sz w:val="28"/>
          <w:szCs w:val="28"/>
        </w:rPr>
        <w:t xml:space="preserve">Assets Under Management</w:t>
      </w:r>
    </w:p>
    <w:p>
      <w:pPr>
        <w:spacing w:after="120" w:line="276" w:lineRule="auto"/>
      </w:pPr>
      <w:r>
        <w:rPr>
          <w:rFonts w:ascii="Arial" w:cs="Arial" w:eastAsia="Arial" w:hAnsi="Arial"/>
          <w:color w:val="1A1A1A"/>
          <w:sz w:val="24"/>
          <w:szCs w:val="24"/>
        </w:rPr>
        <w:t xml:space="preserve">As of December 31, 2025, BWP has $53,856,895.00 in discretionary and $14,095,546 in non-discretionary assets under management.</w:t>
      </w:r>
    </w:p>
    <w:p>
      <w:pPr>
        <w:pStyle w:val="Heading1"/>
        <w:spacing w:after="160" w:before="360"/>
        <w:keepNext/>
        <w:keepLines/>
      </w:pPr>
      <w:r>
        <w:rPr>
          <w:rFonts w:ascii="Arial" w:cs="Arial" w:eastAsia="Arial" w:hAnsi="Arial"/>
          <w:b/>
          <w:bCs/>
          <w:color w:val="1B3A5C"/>
          <w:sz w:val="32"/>
          <w:szCs w:val="32"/>
        </w:rPr>
        <w:t xml:space="preserve">Item 5: Fees and Compensation</w:t>
      </w:r>
    </w:p>
    <w:p>
      <w:pPr>
        <w:spacing w:after="120" w:line="276" w:lineRule="auto"/>
      </w:pPr>
      <w:r>
        <w:rPr>
          <w:rFonts w:ascii="Arial" w:cs="Arial" w:eastAsia="Arial" w:hAnsi="Arial"/>
          <w:color w:val="1A1A1A"/>
          <w:sz w:val="24"/>
          <w:szCs w:val="24"/>
        </w:rPr>
        <w:t xml:space="preserve">Please note, unless a Client has received this brochure at least 48 hours prior to signing an Advisory Contract, the Advisory Contract may be terminated by the Client within five (5) business days of signing the Advisory Contract without penalty.</w:t>
      </w:r>
    </w:p>
    <w:p>
      <w:pPr>
        <w:spacing w:after="120" w:line="276" w:lineRule="auto"/>
      </w:pPr>
      <w:r>
        <w:rPr>
          <w:rFonts w:ascii="Arial" w:cs="Arial" w:eastAsia="Arial" w:hAnsi="Arial"/>
          <w:color w:val="1A1A1A"/>
          <w:sz w:val="24"/>
          <w:szCs w:val="24"/>
        </w:rPr>
        <w:t xml:space="preserve">How we are paid depends on the type of advisory services we perform. Below is a brief description of our fees, however, you should review your executed Advisory Contract for more detailed information regarding the exact fees you will be paying. No increase to the agreed-upon advisory fees outlined in the Advisory Contract shall occur without prior Client consent. Please note, lower fees for comparable services may be available from other sources.</w:t>
      </w:r>
    </w:p>
    <w:p>
      <w:pPr>
        <w:pStyle w:val="Heading2"/>
        <w:spacing w:after="120" w:before="280"/>
        <w:keepNext/>
        <w:keepLines/>
      </w:pPr>
      <w:r>
        <w:rPr>
          <w:rFonts w:ascii="Arial" w:cs="Arial" w:eastAsia="Arial" w:hAnsi="Arial"/>
          <w:b/>
          <w:bCs/>
          <w:color w:val="2E6B9E"/>
          <w:sz w:val="28"/>
          <w:szCs w:val="28"/>
        </w:rPr>
        <w:t xml:space="preserve">Wealth Management Services</w:t>
      </w:r>
    </w:p>
    <w:p>
      <w:pPr>
        <w:spacing w:after="120" w:line="276" w:lineRule="auto"/>
      </w:pPr>
      <w:r>
        <w:rPr>
          <w:rFonts w:ascii="Arial" w:cs="Arial" w:eastAsia="Arial" w:hAnsi="Arial"/>
          <w:color w:val="1A1A1A"/>
          <w:sz w:val="24"/>
          <w:szCs w:val="24"/>
        </w:rPr>
        <w:t xml:space="preserve">The fee is based on a percentage of assets under management and is negotiable. The annualized fees for wealth management services are based on the following fee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1B3A5C" w:val="solid"/>
            <w:tcMar>
              <w:top w:type="dxa" w:w="60"/>
              <w:left w:type="dxa" w:w="100"/>
              <w:bottom w:type="dxa" w:w="60"/>
              <w:right w:type="dxa" w:w="100"/>
            </w:tcMar>
          </w:tcPr>
          <w:p>
            <w:r>
              <w:rPr>
                <w:rFonts w:ascii="Arial" w:cs="Arial" w:eastAsia="Arial" w:hAnsi="Arial"/>
                <w:b/>
                <w:bCs/>
                <w:color w:val="FFFFFF"/>
                <w:sz w:val="24"/>
                <w:szCs w:val="24"/>
              </w:rPr>
              <w:t xml:space="preserve">Assets Under Management</w:t>
            </w:r>
          </w:p>
        </w:tc>
        <w:tc>
          <w:tcPr>
            <w:tcW w:type="dxa" w:w="4680"/>
            <w:shd w:fill="1B3A5C" w:val="solid"/>
            <w:tcMar>
              <w:top w:type="dxa" w:w="60"/>
              <w:left w:type="dxa" w:w="100"/>
              <w:bottom w:type="dxa" w:w="60"/>
              <w:right w:type="dxa" w:w="100"/>
            </w:tcMar>
          </w:tcPr>
          <w:p>
            <w:r>
              <w:rPr>
                <w:rFonts w:ascii="Arial" w:cs="Arial" w:eastAsia="Arial" w:hAnsi="Arial"/>
                <w:b/>
                <w:bCs/>
                <w:color w:val="FFFFFF"/>
                <w:sz w:val="24"/>
                <w:szCs w:val="24"/>
              </w:rPr>
              <w:t xml:space="preserve">Annual Advisory Fee</w:t>
            </w:r>
          </w:p>
        </w:tc>
      </w:tr>
      <w:tr>
        <w:tc>
          <w:tcPr>
            <w:tcW w:type="dxa" w:w="4680"/>
            <w:shd w:fill="F5F7FA" w:val="solid"/>
            <w:tcMar>
              <w:top w:type="dxa" w:w="60"/>
              <w:left w:type="dxa" w:w="100"/>
              <w:bottom w:type="dxa" w:w="60"/>
              <w:right w:type="dxa" w:w="100"/>
            </w:tcMar>
          </w:tcPr>
          <w:p>
            <w:r>
              <w:rPr>
                <w:rFonts w:ascii="Arial" w:cs="Arial" w:eastAsia="Arial" w:hAnsi="Arial"/>
                <w:color w:val="1A1A1A"/>
                <w:sz w:val="24"/>
                <w:szCs w:val="24"/>
              </w:rPr>
              <w:t xml:space="preserve">$0 - $500,000</w:t>
            </w:r>
          </w:p>
        </w:tc>
        <w:tc>
          <w:tcPr>
            <w:tcW w:type="dxa" w:w="4680"/>
            <w:shd w:fill="F5F7FA" w:val="solid"/>
            <w:tcMar>
              <w:top w:type="dxa" w:w="60"/>
              <w:left w:type="dxa" w:w="100"/>
              <w:bottom w:type="dxa" w:w="60"/>
              <w:right w:type="dxa" w:w="100"/>
            </w:tcMar>
          </w:tcPr>
          <w:p>
            <w:r>
              <w:rPr>
                <w:rFonts w:ascii="Arial" w:cs="Arial" w:eastAsia="Arial" w:hAnsi="Arial"/>
                <w:color w:val="1A1A1A"/>
                <w:sz w:val="24"/>
                <w:szCs w:val="24"/>
              </w:rPr>
              <w:t xml:space="preserve">1.45%</w:t>
            </w:r>
          </w:p>
        </w:tc>
      </w:tr>
      <w:tr>
        <w:tc>
          <w:tcPr>
            <w:tcW w:type="dxa" w:w="4680"/>
            <w:shd w:fill="FFFFFF" w:val="solid"/>
            <w:tcMar>
              <w:top w:type="dxa" w:w="60"/>
              <w:left w:type="dxa" w:w="100"/>
              <w:bottom w:type="dxa" w:w="60"/>
              <w:right w:type="dxa" w:w="100"/>
            </w:tcMar>
          </w:tcPr>
          <w:p>
            <w:r>
              <w:rPr>
                <w:rFonts w:ascii="Arial" w:cs="Arial" w:eastAsia="Arial" w:hAnsi="Arial"/>
                <w:color w:val="1A1A1A"/>
                <w:sz w:val="24"/>
                <w:szCs w:val="24"/>
              </w:rPr>
              <w:t xml:space="preserve">$500,001 - $1,000,000</w:t>
            </w:r>
          </w:p>
        </w:tc>
        <w:tc>
          <w:tcPr>
            <w:tcW w:type="dxa" w:w="4680"/>
            <w:shd w:fill="FFFFFF" w:val="solid"/>
            <w:tcMar>
              <w:top w:type="dxa" w:w="60"/>
              <w:left w:type="dxa" w:w="100"/>
              <w:bottom w:type="dxa" w:w="60"/>
              <w:right w:type="dxa" w:w="100"/>
            </w:tcMar>
          </w:tcPr>
          <w:p>
            <w:r>
              <w:rPr>
                <w:rFonts w:ascii="Arial" w:cs="Arial" w:eastAsia="Arial" w:hAnsi="Arial"/>
                <w:color w:val="1A1A1A"/>
                <w:sz w:val="24"/>
                <w:szCs w:val="24"/>
              </w:rPr>
              <w:t xml:space="preserve">1.40%</w:t>
            </w:r>
          </w:p>
        </w:tc>
      </w:tr>
      <w:tr>
        <w:tc>
          <w:tcPr>
            <w:tcW w:type="dxa" w:w="4680"/>
            <w:shd w:fill="F5F7FA" w:val="solid"/>
            <w:tcMar>
              <w:top w:type="dxa" w:w="60"/>
              <w:left w:type="dxa" w:w="100"/>
              <w:bottom w:type="dxa" w:w="60"/>
              <w:right w:type="dxa" w:w="100"/>
            </w:tcMar>
          </w:tcPr>
          <w:p>
            <w:r>
              <w:rPr>
                <w:rFonts w:ascii="Arial" w:cs="Arial" w:eastAsia="Arial" w:hAnsi="Arial"/>
                <w:color w:val="1A1A1A"/>
                <w:sz w:val="24"/>
                <w:szCs w:val="24"/>
              </w:rPr>
              <w:t xml:space="preserve">$1,000,001 - $2,000,000</w:t>
            </w:r>
          </w:p>
        </w:tc>
        <w:tc>
          <w:tcPr>
            <w:tcW w:type="dxa" w:w="4680"/>
            <w:shd w:fill="F5F7FA" w:val="solid"/>
            <w:tcMar>
              <w:top w:type="dxa" w:w="60"/>
              <w:left w:type="dxa" w:w="100"/>
              <w:bottom w:type="dxa" w:w="60"/>
              <w:right w:type="dxa" w:w="100"/>
            </w:tcMar>
          </w:tcPr>
          <w:p>
            <w:r>
              <w:rPr>
                <w:rFonts w:ascii="Arial" w:cs="Arial" w:eastAsia="Arial" w:hAnsi="Arial"/>
                <w:color w:val="1A1A1A"/>
                <w:sz w:val="24"/>
                <w:szCs w:val="24"/>
              </w:rPr>
              <w:t xml:space="preserve">1.00%</w:t>
            </w:r>
          </w:p>
        </w:tc>
      </w:tr>
      <w:tr>
        <w:tc>
          <w:tcPr>
            <w:tcW w:type="dxa" w:w="4680"/>
            <w:shd w:fill="FFFFFF" w:val="solid"/>
            <w:tcMar>
              <w:top w:type="dxa" w:w="60"/>
              <w:left w:type="dxa" w:w="100"/>
              <w:bottom w:type="dxa" w:w="60"/>
              <w:right w:type="dxa" w:w="100"/>
            </w:tcMar>
          </w:tcPr>
          <w:p>
            <w:r>
              <w:rPr>
                <w:rFonts w:ascii="Arial" w:cs="Arial" w:eastAsia="Arial" w:hAnsi="Arial"/>
                <w:color w:val="1A1A1A"/>
                <w:sz w:val="24"/>
                <w:szCs w:val="24"/>
              </w:rPr>
              <w:t xml:space="preserve">$2,000,001 and Above</w:t>
            </w:r>
          </w:p>
        </w:tc>
        <w:tc>
          <w:tcPr>
            <w:tcW w:type="dxa" w:w="4680"/>
            <w:shd w:fill="FFFFFF" w:val="solid"/>
            <w:tcMar>
              <w:top w:type="dxa" w:w="60"/>
              <w:left w:type="dxa" w:w="100"/>
              <w:bottom w:type="dxa" w:w="60"/>
              <w:right w:type="dxa" w:w="100"/>
            </w:tcMar>
          </w:tcPr>
          <w:p>
            <w:r>
              <w:rPr>
                <w:rFonts w:ascii="Arial" w:cs="Arial" w:eastAsia="Arial" w:hAnsi="Arial"/>
                <w:color w:val="1A1A1A"/>
                <w:sz w:val="24"/>
                <w:szCs w:val="24"/>
              </w:rPr>
              <w:t xml:space="preserve">0.60%</w:t>
            </w:r>
          </w:p>
        </w:tc>
      </w:tr>
    </w:tbl>
    <w:p>
      <w:pPr>
        <w:spacing w:after="120" w:line="276" w:lineRule="auto"/>
      </w:pPr>
      <w:r>
        <w:rPr>
          <w:rFonts w:ascii="Arial" w:cs="Arial" w:eastAsia="Arial" w:hAnsi="Arial"/>
          <w:color w:val="1A1A1A"/>
          <w:sz w:val="24"/>
          <w:szCs w:val="24"/>
        </w:rPr>
        <w:t xml:space="preserve">The annual advisory fee is paid monthly in advance based on the value of Client’s account(s) as of the last day of the billing period. The advisory fee is a straight tier. For example, for assets under management of $5,000,000, a Client would pay 0.60%. The monthly fee is determined by the following calculation: ($5,000,000 x 0.60%) ÷ 12 = $2,500.</w:t>
      </w:r>
    </w:p>
    <w:p>
      <w:pPr>
        <w:spacing w:after="120" w:line="276" w:lineRule="auto"/>
      </w:pPr>
      <w:r>
        <w:rPr>
          <w:rFonts w:ascii="Arial" w:cs="Arial" w:eastAsia="Arial" w:hAnsi="Arial"/>
          <w:color w:val="1A1A1A"/>
          <w:sz w:val="24"/>
          <w:szCs w:val="24"/>
        </w:rPr>
        <w:t xml:space="preserve">In determining the advisory fee, we allow accounts of members of the same household to be aggregated. BWP relies on the valuation as provided by Client’s custodian in determining assets under management. Our advisory fee is prorated for any partial billing periods occurring during the engagement, including the initial and terminating billing periods. Clients may make additions or withdrawals from their account at any time; however, BWP reserves the right to adjust our advisory fees on a pro-rata basis on account of any such cash-flow transactions.</w:t>
      </w:r>
    </w:p>
    <w:p>
      <w:pPr>
        <w:pStyle w:val="Heading2"/>
        <w:spacing w:after="120" w:before="280"/>
        <w:keepNext/>
        <w:keepLines/>
      </w:pPr>
      <w:r>
        <w:rPr>
          <w:rFonts w:ascii="Arial" w:cs="Arial" w:eastAsia="Arial" w:hAnsi="Arial"/>
          <w:b/>
          <w:bCs/>
          <w:color w:val="2E6B9E"/>
          <w:sz w:val="28"/>
          <w:szCs w:val="28"/>
        </w:rPr>
        <w:t xml:space="preserve">Ongoing Financial Planning</w:t>
      </w:r>
    </w:p>
    <w:p>
      <w:pPr>
        <w:spacing w:after="120" w:line="276" w:lineRule="auto"/>
      </w:pPr>
      <w:r>
        <w:rPr>
          <w:rFonts w:ascii="Arial" w:cs="Arial" w:eastAsia="Arial" w:hAnsi="Arial"/>
          <w:color w:val="1A1A1A"/>
          <w:sz w:val="24"/>
          <w:szCs w:val="24"/>
        </w:rPr>
        <w:t xml:space="preserve">BWP collects an initial fee, no greater than $1,000. The initial fee covers the initial construction of the comprehensive financial plan. Advisor may reduce or waive the initial fee at the Advisor’s discretion. At no time do we require prepayment of $500 or more six months or more in advance of rendering the services.</w:t>
      </w:r>
    </w:p>
    <w:p>
      <w:pPr>
        <w:spacing w:after="120" w:line="276" w:lineRule="auto"/>
      </w:pPr>
      <w:r>
        <w:rPr>
          <w:rFonts w:ascii="Arial" w:cs="Arial" w:eastAsia="Arial" w:hAnsi="Arial"/>
          <w:color w:val="1A1A1A"/>
          <w:sz w:val="24"/>
          <w:szCs w:val="24"/>
        </w:rPr>
        <w:t xml:space="preserve">We charge a recurring fixed fee for Ongoing Financial Planning. Fees are paid monthly in advance, ranging from $100 to $400. The fee range is dependent upon variables including the specific needs of the Client, complexity, estimated time, research, and resources required to provide services to you, among other factors we deem relevant. Fees are negotiable and the final agreed upon fee will be outlined in your Advisory Contract.</w:t>
      </w:r>
    </w:p>
    <w:p>
      <w:pPr>
        <w:pStyle w:val="Heading2"/>
        <w:spacing w:after="120" w:before="280"/>
        <w:keepNext/>
        <w:keepLines/>
      </w:pPr>
      <w:r>
        <w:rPr>
          <w:rFonts w:ascii="Arial" w:cs="Arial" w:eastAsia="Arial" w:hAnsi="Arial"/>
          <w:b/>
          <w:bCs/>
          <w:color w:val="2E6B9E"/>
          <w:sz w:val="28"/>
          <w:szCs w:val="28"/>
        </w:rPr>
        <w:t xml:space="preserve">Project-Based Financial Planning</w:t>
      </w:r>
    </w:p>
    <w:p>
      <w:pPr>
        <w:spacing w:after="120" w:line="276" w:lineRule="auto"/>
      </w:pPr>
      <w:r>
        <w:rPr>
          <w:rFonts w:ascii="Arial" w:cs="Arial" w:eastAsia="Arial" w:hAnsi="Arial"/>
          <w:color w:val="1A1A1A"/>
          <w:sz w:val="24"/>
          <w:szCs w:val="24"/>
        </w:rPr>
        <w:t xml:space="preserve">BWP charges either a fixed or an hourly fee for Project-Based Financial Planning. Fixed fee rates range between $1,500 to $10,000. Our hourly rate is $250 to $350 based on complexity. The fee range is dependent upon variables including the specific needs of the Client, complexity, estimated time, research, and resources required to provide services to you, among other factors we deem relevant. Fees are negotiable and the final agreed upon fee will be outlined in your Advisory Contract. BWP may request a portion of the fee be collected in advance with the remainder due upon completion of the services. BWP will not bill an amount above $3,000 more than 6 months or more in advance of rendering the services.</w:t>
      </w:r>
    </w:p>
    <w:p>
      <w:pPr>
        <w:pStyle w:val="Heading2"/>
        <w:spacing w:after="120" w:before="280"/>
        <w:keepNext/>
        <w:keepLines/>
      </w:pPr>
      <w:r>
        <w:rPr>
          <w:rFonts w:ascii="Arial" w:cs="Arial" w:eastAsia="Arial" w:hAnsi="Arial"/>
          <w:b/>
          <w:bCs/>
          <w:color w:val="2E6B9E"/>
          <w:sz w:val="28"/>
          <w:szCs w:val="28"/>
        </w:rPr>
        <w:t xml:space="preserve">Retirement Plan Consulting/Management</w:t>
      </w:r>
    </w:p>
    <w:p>
      <w:pPr>
        <w:spacing w:after="120" w:line="276" w:lineRule="auto"/>
      </w:pPr>
      <w:r>
        <w:rPr>
          <w:rFonts w:ascii="Arial" w:cs="Arial" w:eastAsia="Arial" w:hAnsi="Arial"/>
          <w:color w:val="1A1A1A"/>
          <w:sz w:val="24"/>
          <w:szCs w:val="24"/>
        </w:rPr>
        <w:t xml:space="preserve">The fee is based on a percentage of assets under management and is negotiable. The annualized fees for retirement plan investment consulting services are based on the following fee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1B3A5C" w:val="solid"/>
            <w:tcMar>
              <w:top w:type="dxa" w:w="60"/>
              <w:left w:type="dxa" w:w="100"/>
              <w:bottom w:type="dxa" w:w="60"/>
              <w:right w:type="dxa" w:w="100"/>
            </w:tcMar>
          </w:tcPr>
          <w:p>
            <w:r>
              <w:rPr>
                <w:rFonts w:ascii="Arial" w:cs="Arial" w:eastAsia="Arial" w:hAnsi="Arial"/>
                <w:b/>
                <w:bCs/>
                <w:color w:val="FFFFFF"/>
                <w:sz w:val="24"/>
                <w:szCs w:val="24"/>
              </w:rPr>
              <w:t xml:space="preserve">Assets Under Management</w:t>
            </w:r>
          </w:p>
        </w:tc>
        <w:tc>
          <w:tcPr>
            <w:tcW w:type="dxa" w:w="4680"/>
            <w:shd w:fill="1B3A5C" w:val="solid"/>
            <w:tcMar>
              <w:top w:type="dxa" w:w="60"/>
              <w:left w:type="dxa" w:w="100"/>
              <w:bottom w:type="dxa" w:w="60"/>
              <w:right w:type="dxa" w:w="100"/>
            </w:tcMar>
          </w:tcPr>
          <w:p>
            <w:r>
              <w:rPr>
                <w:rFonts w:ascii="Arial" w:cs="Arial" w:eastAsia="Arial" w:hAnsi="Arial"/>
                <w:b/>
                <w:bCs/>
                <w:color w:val="FFFFFF"/>
                <w:sz w:val="24"/>
                <w:szCs w:val="24"/>
              </w:rPr>
              <w:t xml:space="preserve">Annual Advisory Fee</w:t>
            </w:r>
          </w:p>
        </w:tc>
      </w:tr>
      <w:tr>
        <w:tc>
          <w:tcPr>
            <w:tcW w:type="dxa" w:w="4680"/>
            <w:shd w:fill="F5F7FA" w:val="solid"/>
            <w:tcMar>
              <w:top w:type="dxa" w:w="60"/>
              <w:left w:type="dxa" w:w="100"/>
              <w:bottom w:type="dxa" w:w="60"/>
              <w:right w:type="dxa" w:w="100"/>
            </w:tcMar>
          </w:tcPr>
          <w:p>
            <w:r>
              <w:rPr>
                <w:rFonts w:ascii="Arial" w:cs="Arial" w:eastAsia="Arial" w:hAnsi="Arial"/>
                <w:color w:val="1A1A1A"/>
                <w:sz w:val="24"/>
                <w:szCs w:val="24"/>
              </w:rPr>
              <w:t xml:space="preserve">$0 - $100,000</w:t>
            </w:r>
          </w:p>
        </w:tc>
        <w:tc>
          <w:tcPr>
            <w:tcW w:type="dxa" w:w="4680"/>
            <w:shd w:fill="F5F7FA" w:val="solid"/>
            <w:tcMar>
              <w:top w:type="dxa" w:w="60"/>
              <w:left w:type="dxa" w:w="100"/>
              <w:bottom w:type="dxa" w:w="60"/>
              <w:right w:type="dxa" w:w="100"/>
            </w:tcMar>
          </w:tcPr>
          <w:p>
            <w:r>
              <w:rPr>
                <w:rFonts w:ascii="Arial" w:cs="Arial" w:eastAsia="Arial" w:hAnsi="Arial"/>
                <w:color w:val="1A1A1A"/>
                <w:sz w:val="24"/>
                <w:szCs w:val="24"/>
              </w:rPr>
              <w:t xml:space="preserve">0.80%</w:t>
            </w:r>
          </w:p>
        </w:tc>
      </w:tr>
      <w:tr>
        <w:tc>
          <w:tcPr>
            <w:tcW w:type="dxa" w:w="4680"/>
            <w:shd w:fill="FFFFFF" w:val="solid"/>
            <w:tcMar>
              <w:top w:type="dxa" w:w="60"/>
              <w:left w:type="dxa" w:w="100"/>
              <w:bottom w:type="dxa" w:w="60"/>
              <w:right w:type="dxa" w:w="100"/>
            </w:tcMar>
          </w:tcPr>
          <w:p>
            <w:r>
              <w:rPr>
                <w:rFonts w:ascii="Arial" w:cs="Arial" w:eastAsia="Arial" w:hAnsi="Arial"/>
                <w:color w:val="1A1A1A"/>
                <w:sz w:val="24"/>
                <w:szCs w:val="24"/>
              </w:rPr>
              <w:t xml:space="preserve">$100,001 - $500,000</w:t>
            </w:r>
          </w:p>
        </w:tc>
        <w:tc>
          <w:tcPr>
            <w:tcW w:type="dxa" w:w="4680"/>
            <w:shd w:fill="FFFFFF" w:val="solid"/>
            <w:tcMar>
              <w:top w:type="dxa" w:w="60"/>
              <w:left w:type="dxa" w:w="100"/>
              <w:bottom w:type="dxa" w:w="60"/>
              <w:right w:type="dxa" w:w="100"/>
            </w:tcMar>
          </w:tcPr>
          <w:p>
            <w:r>
              <w:rPr>
                <w:rFonts w:ascii="Arial" w:cs="Arial" w:eastAsia="Arial" w:hAnsi="Arial"/>
                <w:color w:val="1A1A1A"/>
                <w:sz w:val="24"/>
                <w:szCs w:val="24"/>
              </w:rPr>
              <w:t xml:space="preserve">0.70%</w:t>
            </w:r>
          </w:p>
        </w:tc>
      </w:tr>
      <w:tr>
        <w:tc>
          <w:tcPr>
            <w:tcW w:type="dxa" w:w="4680"/>
            <w:shd w:fill="F5F7FA" w:val="solid"/>
            <w:tcMar>
              <w:top w:type="dxa" w:w="60"/>
              <w:left w:type="dxa" w:w="100"/>
              <w:bottom w:type="dxa" w:w="60"/>
              <w:right w:type="dxa" w:w="100"/>
            </w:tcMar>
          </w:tcPr>
          <w:p>
            <w:r>
              <w:rPr>
                <w:rFonts w:ascii="Arial" w:cs="Arial" w:eastAsia="Arial" w:hAnsi="Arial"/>
                <w:color w:val="1A1A1A"/>
                <w:sz w:val="24"/>
                <w:szCs w:val="24"/>
              </w:rPr>
              <w:t xml:space="preserve">$500,001 - $1,000,000</w:t>
            </w:r>
          </w:p>
        </w:tc>
        <w:tc>
          <w:tcPr>
            <w:tcW w:type="dxa" w:w="4680"/>
            <w:shd w:fill="F5F7FA" w:val="solid"/>
            <w:tcMar>
              <w:top w:type="dxa" w:w="60"/>
              <w:left w:type="dxa" w:w="100"/>
              <w:bottom w:type="dxa" w:w="60"/>
              <w:right w:type="dxa" w:w="100"/>
            </w:tcMar>
          </w:tcPr>
          <w:p>
            <w:r>
              <w:rPr>
                <w:rFonts w:ascii="Arial" w:cs="Arial" w:eastAsia="Arial" w:hAnsi="Arial"/>
                <w:color w:val="1A1A1A"/>
                <w:sz w:val="24"/>
                <w:szCs w:val="24"/>
              </w:rPr>
              <w:t xml:space="preserve">0.60%</w:t>
            </w:r>
          </w:p>
        </w:tc>
      </w:tr>
      <w:tr>
        <w:tc>
          <w:tcPr>
            <w:tcW w:type="dxa" w:w="4680"/>
            <w:shd w:fill="FFFFFF" w:val="solid"/>
            <w:tcMar>
              <w:top w:type="dxa" w:w="60"/>
              <w:left w:type="dxa" w:w="100"/>
              <w:bottom w:type="dxa" w:w="60"/>
              <w:right w:type="dxa" w:w="100"/>
            </w:tcMar>
          </w:tcPr>
          <w:p>
            <w:r>
              <w:rPr>
                <w:rFonts w:ascii="Arial" w:cs="Arial" w:eastAsia="Arial" w:hAnsi="Arial"/>
                <w:color w:val="1A1A1A"/>
                <w:sz w:val="24"/>
                <w:szCs w:val="24"/>
              </w:rPr>
              <w:t xml:space="preserve">$1,000,000 and Above</w:t>
            </w:r>
          </w:p>
        </w:tc>
        <w:tc>
          <w:tcPr>
            <w:tcW w:type="dxa" w:w="4680"/>
            <w:shd w:fill="FFFFFF" w:val="solid"/>
            <w:tcMar>
              <w:top w:type="dxa" w:w="60"/>
              <w:left w:type="dxa" w:w="100"/>
              <w:bottom w:type="dxa" w:w="60"/>
              <w:right w:type="dxa" w:w="100"/>
            </w:tcMar>
          </w:tcPr>
          <w:p>
            <w:r>
              <w:rPr>
                <w:rFonts w:ascii="Arial" w:cs="Arial" w:eastAsia="Arial" w:hAnsi="Arial"/>
                <w:color w:val="1A1A1A"/>
                <w:sz w:val="24"/>
                <w:szCs w:val="24"/>
              </w:rPr>
              <w:t xml:space="preserve">0.50%</w:t>
            </w:r>
          </w:p>
        </w:tc>
      </w:tr>
    </w:tbl>
    <w:p>
      <w:pPr>
        <w:spacing w:after="120" w:line="276" w:lineRule="auto"/>
      </w:pPr>
      <w:r>
        <w:rPr>
          <w:rFonts w:ascii="Arial" w:cs="Arial" w:eastAsia="Arial" w:hAnsi="Arial"/>
          <w:color w:val="1A1A1A"/>
          <w:sz w:val="24"/>
          <w:szCs w:val="24"/>
        </w:rPr>
        <w:t xml:space="preserve">The annual advisory fee is paid quarterly in arrears based on the value of the Client’s account(s) as of the last day of the billing period. The advisory fee is a straight tier. For example, for assets under management of $5,000,000, a Client would pay 0.50%. This does not include fees to other parties, such as record keepers, custodians, or third-party administrators.</w:t>
      </w:r>
    </w:p>
    <w:p>
      <w:pPr>
        <w:pStyle w:val="Heading2"/>
        <w:spacing w:after="120" w:before="280"/>
        <w:keepNext/>
        <w:keepLines/>
      </w:pPr>
      <w:r>
        <w:rPr>
          <w:rFonts w:ascii="Arial" w:cs="Arial" w:eastAsia="Arial" w:hAnsi="Arial"/>
          <w:b/>
          <w:bCs/>
          <w:color w:val="2E6B9E"/>
          <w:sz w:val="28"/>
          <w:szCs w:val="28"/>
        </w:rPr>
        <w:t xml:space="preserve">Educational Seminars / Speaking Engagements</w:t>
      </w:r>
    </w:p>
    <w:p>
      <w:pPr>
        <w:spacing w:after="120" w:line="276" w:lineRule="auto"/>
      </w:pPr>
      <w:r>
        <w:rPr>
          <w:rFonts w:ascii="Arial" w:cs="Arial" w:eastAsia="Arial" w:hAnsi="Arial"/>
          <w:color w:val="1A1A1A"/>
          <w:sz w:val="24"/>
          <w:szCs w:val="24"/>
        </w:rPr>
        <w:t xml:space="preserve">Seminars and speaking engagements are offered to organizations and the public on a variety of financial topics. Fees range from $1,500 to $2,000 per seminar or $250 to $500 per participant. The fee range is based on the content, amount of research conducted, the number of hours of preparation needed, and the number of attendees.</w:t>
      </w:r>
    </w:p>
    <w:p>
      <w:pPr>
        <w:pStyle w:val="Heading2"/>
        <w:spacing w:after="120" w:before="280"/>
        <w:keepNext/>
        <w:keepLines/>
      </w:pPr>
      <w:r>
        <w:rPr>
          <w:rFonts w:ascii="Arial" w:cs="Arial" w:eastAsia="Arial" w:hAnsi="Arial"/>
          <w:b/>
          <w:bCs/>
          <w:color w:val="2E6B9E"/>
          <w:sz w:val="28"/>
          <w:szCs w:val="28"/>
        </w:rPr>
        <w:t xml:space="preserve">Fee Payment</w:t>
      </w:r>
    </w:p>
    <w:p>
      <w:pPr>
        <w:spacing w:after="120" w:line="276" w:lineRule="auto"/>
      </w:pPr>
      <w:r>
        <w:rPr>
          <w:rFonts w:ascii="Arial" w:cs="Arial" w:eastAsia="Arial" w:hAnsi="Arial"/>
          <w:color w:val="1A1A1A"/>
          <w:sz w:val="24"/>
          <w:szCs w:val="24"/>
        </w:rPr>
        <w:t xml:space="preserve">For Investment Management services, we deduct our advisory fee from one or more account(s) held at an unaffiliated third-party custodian, as directed by the Client. Please refer to Item 15 of this Brochure regarding our policy on direct fee deduction. Clients may also pay by electronic funds transfer (EFT).</w:t>
      </w:r>
    </w:p>
    <w:p>
      <w:pPr>
        <w:spacing w:after="120" w:line="276" w:lineRule="auto"/>
      </w:pPr>
      <w:r>
        <w:rPr>
          <w:rFonts w:ascii="Arial" w:cs="Arial" w:eastAsia="Arial" w:hAnsi="Arial"/>
          <w:color w:val="1A1A1A"/>
          <w:sz w:val="24"/>
          <w:szCs w:val="24"/>
        </w:rPr>
        <w:t xml:space="preserve">For Financial Planning services and Educational Seminars / Speaking Engagements, fees are paid by electronic funds transfer (EFT) or check.</w:t>
      </w:r>
    </w:p>
    <w:p>
      <w:pPr>
        <w:spacing w:after="120" w:line="276" w:lineRule="auto"/>
      </w:pPr>
      <w:r>
        <w:rPr>
          <w:rFonts w:ascii="Arial" w:cs="Arial" w:eastAsia="Arial" w:hAnsi="Arial"/>
          <w:color w:val="1A1A1A"/>
          <w:sz w:val="24"/>
          <w:szCs w:val="24"/>
        </w:rPr>
        <w:t xml:space="preserve">Clients electing to have the Advisor manage their workplace retirement plan assets as part of our engagement will pay a flat annual fee of $798, billed quarterly in advance at $198.75 per quarter.</w:t>
      </w:r>
    </w:p>
    <w:p>
      <w:pPr>
        <w:spacing w:after="120" w:line="276" w:lineRule="auto"/>
      </w:pPr>
      <w:r>
        <w:rPr>
          <w:rFonts w:ascii="Arial" w:cs="Arial" w:eastAsia="Arial" w:hAnsi="Arial"/>
          <w:color w:val="1A1A1A"/>
          <w:sz w:val="24"/>
          <w:szCs w:val="24"/>
        </w:rPr>
        <w:t xml:space="preserve">For Retirement Plan services, fees are either paid directly by the plan sponsor or deducted directly from the plan assets by the custodian.</w:t>
      </w:r>
    </w:p>
    <w:p>
      <w:pPr>
        <w:pStyle w:val="Heading2"/>
        <w:spacing w:after="120" w:before="280"/>
        <w:keepNext/>
        <w:keepLines/>
      </w:pPr>
      <w:r>
        <w:rPr>
          <w:rFonts w:ascii="Arial" w:cs="Arial" w:eastAsia="Arial" w:hAnsi="Arial"/>
          <w:b/>
          <w:bCs/>
          <w:color w:val="2E6B9E"/>
          <w:sz w:val="28"/>
          <w:szCs w:val="28"/>
        </w:rPr>
        <w:t xml:space="preserve">Other Types of Fees and Expenses</w:t>
      </w:r>
    </w:p>
    <w:p>
      <w:pPr>
        <w:spacing w:after="120" w:line="276" w:lineRule="auto"/>
      </w:pPr>
      <w:r>
        <w:rPr>
          <w:rFonts w:ascii="Arial" w:cs="Arial" w:eastAsia="Arial" w:hAnsi="Arial"/>
          <w:color w:val="1A1A1A"/>
          <w:sz w:val="24"/>
          <w:szCs w:val="24"/>
        </w:rPr>
        <w:t xml:space="preserve">Our fees are exclusive of brokerage commissions, transaction fees, and other related costs and expenses which may be incurred by the Client. Clients may incur certain charges imposed by custodians, brokers, and other third parties such as custodial fees, deferred sales charges, odd-lot differentials, transfer taxes, wire transfer, and electronic fund fees, and other fees and taxes on brokerage accounts and securities transactions. Mutual fund and exchange-traded funds also charge internal management fees, which are disclosed in a fund’s prospectus. Such charges, fees, and commissions are exclusive of and in addition to our fee, and we shall not receive any portion of these commissions, fees, and costs.</w:t>
      </w:r>
    </w:p>
    <w:p>
      <w:pPr>
        <w:pStyle w:val="Heading2"/>
        <w:spacing w:after="120" w:before="280"/>
        <w:keepNext/>
        <w:keepLines/>
      </w:pPr>
      <w:r>
        <w:rPr>
          <w:rFonts w:ascii="Arial" w:cs="Arial" w:eastAsia="Arial" w:hAnsi="Arial"/>
          <w:b/>
          <w:bCs/>
          <w:color w:val="2E6B9E"/>
          <w:sz w:val="28"/>
          <w:szCs w:val="28"/>
        </w:rPr>
        <w:t xml:space="preserve">Terminations and Refunds</w:t>
      </w:r>
    </w:p>
    <w:p>
      <w:pPr>
        <w:spacing w:after="120" w:line="276" w:lineRule="auto"/>
      </w:pPr>
      <w:r>
        <w:rPr>
          <w:rFonts w:ascii="Arial" w:cs="Arial" w:eastAsia="Arial" w:hAnsi="Arial"/>
          <w:color w:val="1A1A1A"/>
          <w:sz w:val="24"/>
          <w:szCs w:val="24"/>
        </w:rPr>
        <w:t xml:space="preserve">For Investment Management services and Retirement Plan Services, the Advisory Contract may be terminated with written notice at least 30 calendar days in advance. Upon termination of the Advisory Contract, a prorated refund will be provided to the Client.</w:t>
      </w:r>
    </w:p>
    <w:p>
      <w:pPr>
        <w:spacing w:after="120" w:line="276" w:lineRule="auto"/>
      </w:pPr>
      <w:r>
        <w:rPr>
          <w:rFonts w:ascii="Arial" w:cs="Arial" w:eastAsia="Arial" w:hAnsi="Arial"/>
          <w:color w:val="1A1A1A"/>
          <w:sz w:val="24"/>
          <w:szCs w:val="24"/>
        </w:rPr>
        <w:t xml:space="preserve">For Ongoing Financial Planning services, the Advisory Contract may be terminated with written notice at least 30 calendar days in advance. Upon termination, the fee will be prorated based on the percentage of work completed by the Advisor and refunded to the Client.</w:t>
      </w:r>
    </w:p>
    <w:p>
      <w:pPr>
        <w:spacing w:after="120" w:line="276" w:lineRule="auto"/>
      </w:pPr>
      <w:r>
        <w:rPr>
          <w:rFonts w:ascii="Arial" w:cs="Arial" w:eastAsia="Arial" w:hAnsi="Arial"/>
          <w:color w:val="1A1A1A"/>
          <w:sz w:val="24"/>
          <w:szCs w:val="24"/>
        </w:rPr>
        <w:t xml:space="preserve">For Project-Based Financial Planning services, this service is not an ongoing engagement, thus upon receipt of the final fees, the Advisory Contract will automatically be terminated. Clients may terminate at any time provided written notice.</w:t>
      </w:r>
    </w:p>
    <w:p>
      <w:pPr>
        <w:pStyle w:val="Heading2"/>
        <w:spacing w:after="120" w:before="280"/>
        <w:keepNext/>
        <w:keepLines/>
      </w:pPr>
      <w:r>
        <w:rPr>
          <w:rFonts w:ascii="Arial" w:cs="Arial" w:eastAsia="Arial" w:hAnsi="Arial"/>
          <w:b/>
          <w:bCs/>
          <w:color w:val="2E6B9E"/>
          <w:sz w:val="28"/>
          <w:szCs w:val="28"/>
        </w:rPr>
        <w:t xml:space="preserve">Sale of Securities or Other Investment Products</w:t>
      </w:r>
    </w:p>
    <w:p>
      <w:pPr>
        <w:spacing w:after="120" w:line="276" w:lineRule="auto"/>
      </w:pPr>
      <w:r>
        <w:rPr>
          <w:rFonts w:ascii="Arial" w:cs="Arial" w:eastAsia="Arial" w:hAnsi="Arial"/>
          <w:color w:val="1A1A1A"/>
          <w:sz w:val="24"/>
          <w:szCs w:val="24"/>
        </w:rPr>
        <w:t xml:space="preserve">Advisor and its supervised persons do not accept compensation for the sale of securities or other investment products including asset-based sales charges or service fees from the sale of mutual funds.</w:t>
      </w:r>
    </w:p>
    <w:p>
      <w:pPr>
        <w:pStyle w:val="Heading1"/>
        <w:spacing w:after="160" w:before="360"/>
        <w:keepNext/>
        <w:keepLines/>
      </w:pPr>
      <w:r>
        <w:rPr>
          <w:rFonts w:ascii="Arial" w:cs="Arial" w:eastAsia="Arial" w:hAnsi="Arial"/>
          <w:b/>
          <w:bCs/>
          <w:color w:val="1B3A5C"/>
          <w:sz w:val="32"/>
          <w:szCs w:val="32"/>
        </w:rPr>
        <w:t xml:space="preserve">Item 6: Performance-Based Fees and Side-By-Side Management</w:t>
      </w:r>
    </w:p>
    <w:p>
      <w:pPr>
        <w:spacing w:after="120" w:line="276" w:lineRule="auto"/>
      </w:pPr>
      <w:r>
        <w:rPr>
          <w:rFonts w:ascii="Arial" w:cs="Arial" w:eastAsia="Arial" w:hAnsi="Arial"/>
          <w:color w:val="1A1A1A"/>
          <w:sz w:val="24"/>
          <w:szCs w:val="24"/>
        </w:rPr>
        <w:t xml:space="preserve">We do not offer performance-based fees and do not engage in side-by-side management.</w:t>
      </w:r>
    </w:p>
    <w:p>
      <w:pPr>
        <w:pStyle w:val="Heading1"/>
        <w:spacing w:after="160" w:before="360"/>
        <w:keepNext/>
        <w:keepLines/>
      </w:pPr>
      <w:r>
        <w:rPr>
          <w:rFonts w:ascii="Arial" w:cs="Arial" w:eastAsia="Arial" w:hAnsi="Arial"/>
          <w:b/>
          <w:bCs/>
          <w:color w:val="1B3A5C"/>
          <w:sz w:val="32"/>
          <w:szCs w:val="32"/>
        </w:rPr>
        <w:t xml:space="preserve">Item 7: Types of Clients</w:t>
      </w:r>
    </w:p>
    <w:p>
      <w:pPr>
        <w:spacing w:after="120" w:line="276" w:lineRule="auto"/>
      </w:pPr>
      <w:r>
        <w:rPr>
          <w:rFonts w:ascii="Arial" w:cs="Arial" w:eastAsia="Arial" w:hAnsi="Arial"/>
          <w:color w:val="1A1A1A"/>
          <w:sz w:val="24"/>
          <w:szCs w:val="24"/>
        </w:rPr>
        <w:t xml:space="preserve">We provide financial planning and investment management services to individuals, high net-worth individuals, banking or thrift institutions, investment companies, business development companies, pool investment vehicles, pension and profit sharing plans, charitable organizations, corporations or other businesses, state or municipal government entities, and other investment advisers.</w:t>
      </w:r>
    </w:p>
    <w:p>
      <w:pPr>
        <w:spacing w:after="120" w:line="276" w:lineRule="auto"/>
      </w:pPr>
      <w:r>
        <w:rPr>
          <w:rFonts w:ascii="Arial" w:cs="Arial" w:eastAsia="Arial" w:hAnsi="Arial"/>
          <w:color w:val="1A1A1A"/>
          <w:sz w:val="24"/>
          <w:szCs w:val="24"/>
        </w:rPr>
        <w:t xml:space="preserve">We do not have a minimum account size requirement.</w:t>
      </w:r>
    </w:p>
    <w:p>
      <w:pPr>
        <w:pStyle w:val="Heading1"/>
        <w:spacing w:after="160" w:before="360"/>
        <w:keepNext/>
        <w:keepLines/>
      </w:pPr>
      <w:r>
        <w:rPr>
          <w:rFonts w:ascii="Arial" w:cs="Arial" w:eastAsia="Arial" w:hAnsi="Arial"/>
          <w:b/>
          <w:bCs/>
          <w:color w:val="1B3A5C"/>
          <w:sz w:val="32"/>
          <w:szCs w:val="32"/>
        </w:rPr>
        <w:t xml:space="preserve">Item 8: Methods of Analysis, Investment Strategies, and Risk of Loss</w:t>
      </w:r>
    </w:p>
    <w:p>
      <w:pPr>
        <w:spacing w:after="120" w:line="276" w:lineRule="auto"/>
      </w:pPr>
      <w:r>
        <w:rPr>
          <w:rFonts w:ascii="Arial" w:cs="Arial" w:eastAsia="Arial" w:hAnsi="Arial"/>
          <w:color w:val="1A1A1A"/>
          <w:sz w:val="24"/>
          <w:szCs w:val="24"/>
        </w:rPr>
        <w:t xml:space="preserve">Below is a brief description of our methods of analysis and primary investment strategies when we provide securities recommendations in the context of a financial plan.</w:t>
      </w:r>
    </w:p>
    <w:p>
      <w:pPr>
        <w:pStyle w:val="Heading2"/>
        <w:spacing w:after="120" w:before="280"/>
        <w:keepNext/>
        <w:keepLines/>
      </w:pPr>
      <w:r>
        <w:rPr>
          <w:rFonts w:ascii="Arial" w:cs="Arial" w:eastAsia="Arial" w:hAnsi="Arial"/>
          <w:b/>
          <w:bCs/>
          <w:color w:val="2E6B9E"/>
          <w:sz w:val="28"/>
          <w:szCs w:val="28"/>
        </w:rPr>
        <w:t xml:space="preserve">Methods of Analysis</w:t>
      </w:r>
    </w:p>
    <w:p>
      <w:pPr>
        <w:spacing w:after="120" w:line="276" w:lineRule="auto"/>
      </w:pPr>
      <w:r>
        <w:rPr>
          <w:rFonts w:ascii="Arial" w:cs="Arial" w:eastAsia="Arial" w:hAnsi="Arial"/>
          <w:color w:val="1A1A1A"/>
          <w:sz w:val="24"/>
          <w:szCs w:val="24"/>
        </w:rPr>
        <w:t xml:space="preserve">Fundamental analysis involves analyzing individual companies and their industry groups, such as a company’s financial statements, details regarding the company’s product line, the experience, and expertise of the company’s management, and the outlook for the company’s industry. The resulting data is used to measure the true value of the company’s stock compared to the current market value.</w:t>
      </w:r>
    </w:p>
    <w:p>
      <w:pPr>
        <w:spacing w:after="120" w:line="276" w:lineRule="auto"/>
      </w:pPr>
      <w:r>
        <w:rPr>
          <w:rFonts w:ascii="Arial" w:cs="Arial" w:eastAsia="Arial" w:hAnsi="Arial"/>
          <w:color w:val="1A1A1A"/>
          <w:sz w:val="24"/>
          <w:szCs w:val="24"/>
        </w:rPr>
        <w:t xml:space="preserve">Technical analysis involves using chart patterns, momentum, volume, and relative strength in an effort to pick sectors that may outperform market indices. However, there is no assurance of accurate forecasts or that trends will develop in the markets we follow.</w:t>
      </w:r>
    </w:p>
    <w:p>
      <w:pPr>
        <w:spacing w:after="120" w:line="276" w:lineRule="auto"/>
      </w:pPr>
      <w:r>
        <w:rPr>
          <w:rFonts w:ascii="Arial" w:cs="Arial" w:eastAsia="Arial" w:hAnsi="Arial"/>
          <w:color w:val="1A1A1A"/>
          <w:sz w:val="24"/>
          <w:szCs w:val="24"/>
        </w:rPr>
        <w:t xml:space="preserve">Cyclical analysis is a type of technical analysis that involves evaluating recurring price patterns and trends based upon business cycles. Economic/business cycles may not be predictable and may have many fluctuations between long-term expansions and contractions.</w:t>
      </w:r>
    </w:p>
    <w:p>
      <w:pPr>
        <w:spacing w:after="120" w:line="276" w:lineRule="auto"/>
      </w:pPr>
      <w:r>
        <w:rPr>
          <w:rFonts w:ascii="Arial" w:cs="Arial" w:eastAsia="Arial" w:hAnsi="Arial"/>
          <w:color w:val="1A1A1A"/>
          <w:sz w:val="24"/>
          <w:szCs w:val="24"/>
        </w:rPr>
        <w:t xml:space="preserve">Charting analysis involves the gathering and processing of price and volume information for a particular security. This price and volume information is analyzed using mathematical equations. The resulting data is then applied to graphing charts, which is used to predict future price movements based on price patterns and trends.</w:t>
      </w:r>
    </w:p>
    <w:p>
      <w:pPr>
        <w:spacing w:after="120" w:line="276" w:lineRule="auto"/>
      </w:pPr>
      <w:r>
        <w:rPr>
          <w:rFonts w:ascii="Arial" w:cs="Arial" w:eastAsia="Arial" w:hAnsi="Arial"/>
          <w:color w:val="1A1A1A"/>
          <w:sz w:val="24"/>
          <w:szCs w:val="24"/>
        </w:rPr>
        <w:t xml:space="preserve">Modern Portfolio Theory (MPT): The underlying principles of MPT are: (i) investors are risk averse; (ii) markets are efficient; (iii) the design of the portfolio as a whole is more important than the selection of any particular security; and (iv) increasing diversification of the portfolio with lower correlated asset class positions can decrease portfolio risk.</w:t>
      </w:r>
    </w:p>
    <w:p>
      <w:pPr>
        <w:spacing w:after="120" w:line="276" w:lineRule="auto"/>
      </w:pPr>
      <w:r>
        <w:rPr>
          <w:rFonts w:ascii="Arial" w:cs="Arial" w:eastAsia="Arial" w:hAnsi="Arial"/>
          <w:color w:val="1A1A1A"/>
          <w:sz w:val="24"/>
          <w:szCs w:val="24"/>
        </w:rPr>
        <w:t xml:space="preserve">Mutual Fund and/or ETF Analysis: We look at the experience and track record of the manager of the mutual fund or ETF in an attempt to determine if that manager has demonstrated an ability to invest over a period of time and in different economic conditions. We also look at the underlying assets in a mutual fund or ETF in an attempt to determine if there is significant overlap in the underlying investments held in other funds in the Client’s portfolio.</w:t>
      </w:r>
    </w:p>
    <w:p>
      <w:pPr>
        <w:spacing w:after="120" w:line="276" w:lineRule="auto"/>
      </w:pPr>
      <w:r>
        <w:rPr>
          <w:rFonts w:ascii="Arial" w:cs="Arial" w:eastAsia="Arial" w:hAnsi="Arial"/>
          <w:color w:val="1A1A1A"/>
          <w:sz w:val="24"/>
          <w:szCs w:val="24"/>
        </w:rPr>
        <w:t xml:space="preserve">Use of Outside Managers: We may refer Clients to Third Party Investment Advisers or advisory programs. Our analysis of Outside Managers involves the examination of the experience, expertise, investment philosophies, and past performance of the Outside Managers in an attempt to determine if that Outside Manager has demonstrated an ability to invest over a period of time and in different economic conditions.</w:t>
      </w:r>
    </w:p>
    <w:p>
      <w:pPr>
        <w:pStyle w:val="Heading2"/>
        <w:spacing w:after="120" w:before="280"/>
        <w:keepNext/>
        <w:keepLines/>
      </w:pPr>
      <w:r>
        <w:rPr>
          <w:rFonts w:ascii="Arial" w:cs="Arial" w:eastAsia="Arial" w:hAnsi="Arial"/>
          <w:b/>
          <w:bCs/>
          <w:color w:val="2E6B9E"/>
          <w:sz w:val="28"/>
          <w:szCs w:val="28"/>
        </w:rPr>
        <w:t xml:space="preserve">Investment Strategies</w:t>
      </w:r>
    </w:p>
    <w:p>
      <w:pPr>
        <w:spacing w:after="120" w:line="276" w:lineRule="auto"/>
      </w:pPr>
      <w:r>
        <w:rPr>
          <w:rFonts w:ascii="Arial" w:cs="Arial" w:eastAsia="Arial" w:hAnsi="Arial"/>
          <w:color w:val="1A1A1A"/>
          <w:sz w:val="24"/>
          <w:szCs w:val="24"/>
        </w:rPr>
        <w:t xml:space="preserve">Asset Allocation: In implementing our Clients’ investment strategy, we begin by attempting to identify an appropriate ratio of equities, fixed income, and cash suitable to the Client’s investment goals and risk tolerance.</w:t>
      </w:r>
    </w:p>
    <w:p>
      <w:pPr>
        <w:spacing w:after="120" w:line="276" w:lineRule="auto"/>
      </w:pPr>
      <w:r>
        <w:rPr>
          <w:rFonts w:ascii="Arial" w:cs="Arial" w:eastAsia="Arial" w:hAnsi="Arial"/>
          <w:color w:val="1A1A1A"/>
          <w:sz w:val="24"/>
          <w:szCs w:val="24"/>
        </w:rPr>
        <w:t xml:space="preserve">Passive Investment Management: Passive investing involves building portfolios that are composed of various distinct asset classes. The asset classes are weighted in a manner to achieve the desired relationship between correlation, risk, and return. Funds that passively capture the returns of the desired asset classes are placed in the portfolio.</w:t>
      </w:r>
    </w:p>
    <w:p>
      <w:pPr>
        <w:spacing w:after="120" w:line="276" w:lineRule="auto"/>
      </w:pPr>
      <w:r>
        <w:rPr>
          <w:rFonts w:ascii="Arial" w:cs="Arial" w:eastAsia="Arial" w:hAnsi="Arial"/>
          <w:color w:val="1A1A1A"/>
          <w:sz w:val="24"/>
          <w:szCs w:val="24"/>
        </w:rPr>
        <w:t xml:space="preserve">Passive and Active Investment Management: We may choose investment vehicles that are considered passive, active, or a combination of both styles.</w:t>
      </w:r>
    </w:p>
    <w:p>
      <w:pPr>
        <w:spacing w:after="120" w:line="276" w:lineRule="auto"/>
      </w:pPr>
      <w:r>
        <w:rPr>
          <w:rFonts w:ascii="Arial" w:cs="Arial" w:eastAsia="Arial" w:hAnsi="Arial"/>
          <w:color w:val="1A1A1A"/>
          <w:sz w:val="24"/>
          <w:szCs w:val="24"/>
        </w:rPr>
        <w:t xml:space="preserve">Socially Responsible Investing: We may utilize various socially conscious investment approaches if a Client desires. BWP may construct portfolios that utilize mutual funds, ETFs, or individual securities with the purpose of incorporating socially conscious principles into a Client’s portfolio.</w:t>
      </w:r>
    </w:p>
    <w:p>
      <w:pPr>
        <w:spacing w:after="120" w:line="276" w:lineRule="auto"/>
      </w:pPr>
      <w:r>
        <w:rPr>
          <w:rFonts w:ascii="Arial" w:cs="Arial" w:eastAsia="Arial" w:hAnsi="Arial"/>
          <w:color w:val="1A1A1A"/>
          <w:sz w:val="24"/>
          <w:szCs w:val="24"/>
        </w:rPr>
        <w:t xml:space="preserve">Long-term/Short-term purchases: We purchase securities and generally hold them in the Client’s account for a year or longer. Short-term purchases may be employed as appropriate when we believe the securities to be currently undervalued, and/or we want exposure to a particular asset class over time, regardless of the current projection for this class.</w:t>
      </w:r>
    </w:p>
    <w:p>
      <w:pPr>
        <w:pStyle w:val="Heading2"/>
        <w:spacing w:after="120" w:before="280"/>
        <w:keepNext/>
        <w:keepLines/>
      </w:pPr>
      <w:r>
        <w:rPr>
          <w:rFonts w:ascii="Arial" w:cs="Arial" w:eastAsia="Arial" w:hAnsi="Arial"/>
          <w:b/>
          <w:bCs/>
          <w:color w:val="2E6B9E"/>
          <w:sz w:val="28"/>
          <w:szCs w:val="28"/>
        </w:rPr>
        <w:t xml:space="preserve">Material Risks Involved</w:t>
      </w:r>
    </w:p>
    <w:p>
      <w:pPr>
        <w:spacing w:after="120" w:line="276" w:lineRule="auto"/>
      </w:pPr>
      <w:r>
        <w:rPr>
          <w:rFonts w:ascii="Arial" w:cs="Arial" w:eastAsia="Arial" w:hAnsi="Arial"/>
          <w:color w:val="1A1A1A"/>
          <w:sz w:val="24"/>
          <w:szCs w:val="24"/>
        </w:rPr>
        <w:t xml:space="preserve">All investing strategies we offer involve risk and may result in a loss of your original investment which you should be prepared to bear. Material risks associated with our investment strategies include: Market Risk, Strategy Risk, Small and Medium Cap Company Risk, Turnover Risk, Limited Markets Risk, Interest Rate Risk, Legal or Legislative Risk, and Inflation Risk.</w:t>
      </w:r>
    </w:p>
    <w:p>
      <w:pPr>
        <w:spacing w:after="120" w:line="276" w:lineRule="auto"/>
      </w:pPr>
      <w:r>
        <w:rPr>
          <w:rFonts w:ascii="Arial" w:cs="Arial" w:eastAsia="Arial" w:hAnsi="Arial"/>
          <w:color w:val="1A1A1A"/>
          <w:sz w:val="24"/>
          <w:szCs w:val="24"/>
        </w:rPr>
        <w:t xml:space="preserve">Risks Associated with Securities: Apart from the general risks outlined above which apply to all types of investments, specific securities may have other risks. Securities discussed include: Commercial Paper, Common Stocks, Corporate Bonds, Bank Obligations, Municipal Bonds, Interval Funds, Exchange Traded Funds, and Mutual Funds. Each of these carries specific risks disclosed in detail in the preceding version of this brochure.</w:t>
      </w:r>
    </w:p>
    <w:p>
      <w:pPr>
        <w:pStyle w:val="Heading1"/>
        <w:spacing w:after="160" w:before="360"/>
        <w:keepNext/>
        <w:keepLines/>
      </w:pPr>
      <w:r>
        <w:rPr>
          <w:rFonts w:ascii="Arial" w:cs="Arial" w:eastAsia="Arial" w:hAnsi="Arial"/>
          <w:b/>
          <w:bCs/>
          <w:color w:val="1B3A5C"/>
          <w:sz w:val="32"/>
          <w:szCs w:val="32"/>
        </w:rPr>
        <w:t xml:space="preserve">Item 9: Disciplinary Information</w:t>
      </w:r>
    </w:p>
    <w:p>
      <w:pPr>
        <w:pStyle w:val="Heading2"/>
        <w:spacing w:after="120" w:before="280"/>
        <w:keepNext/>
        <w:keepLines/>
      </w:pPr>
      <w:r>
        <w:rPr>
          <w:rFonts w:ascii="Arial" w:cs="Arial" w:eastAsia="Arial" w:hAnsi="Arial"/>
          <w:b/>
          <w:bCs/>
          <w:color w:val="2E6B9E"/>
          <w:sz w:val="28"/>
          <w:szCs w:val="28"/>
        </w:rPr>
        <w:t xml:space="preserve">Criminal or Civil Actions</w:t>
      </w:r>
    </w:p>
    <w:p>
      <w:pPr>
        <w:spacing w:after="120" w:line="276" w:lineRule="auto"/>
      </w:pPr>
      <w:r>
        <w:rPr>
          <w:rFonts w:ascii="Arial" w:cs="Arial" w:eastAsia="Arial" w:hAnsi="Arial"/>
          <w:color w:val="1A1A1A"/>
          <w:sz w:val="24"/>
          <w:szCs w:val="24"/>
        </w:rPr>
        <w:t xml:space="preserve">BWP and its management persons have not been involved in any criminal or civil action.</w:t>
      </w:r>
    </w:p>
    <w:p>
      <w:pPr>
        <w:pStyle w:val="Heading2"/>
        <w:spacing w:after="120" w:before="280"/>
        <w:keepNext/>
        <w:keepLines/>
      </w:pPr>
      <w:r>
        <w:rPr>
          <w:rFonts w:ascii="Arial" w:cs="Arial" w:eastAsia="Arial" w:hAnsi="Arial"/>
          <w:b/>
          <w:bCs/>
          <w:color w:val="2E6B9E"/>
          <w:sz w:val="28"/>
          <w:szCs w:val="28"/>
        </w:rPr>
        <w:t xml:space="preserve">Administrative Enforcement Proceedings</w:t>
      </w:r>
    </w:p>
    <w:p>
      <w:pPr>
        <w:spacing w:after="120" w:line="276" w:lineRule="auto"/>
      </w:pPr>
      <w:r>
        <w:rPr>
          <w:rFonts w:ascii="Arial" w:cs="Arial" w:eastAsia="Arial" w:hAnsi="Arial"/>
          <w:color w:val="1A1A1A"/>
          <w:sz w:val="24"/>
          <w:szCs w:val="24"/>
        </w:rPr>
        <w:t xml:space="preserve">BWP and its management persons have not been involved in administrative enforcement proceedings.</w:t>
      </w:r>
    </w:p>
    <w:p>
      <w:pPr>
        <w:pStyle w:val="Heading2"/>
        <w:spacing w:after="120" w:before="280"/>
        <w:keepNext/>
        <w:keepLines/>
      </w:pPr>
      <w:r>
        <w:rPr>
          <w:rFonts w:ascii="Arial" w:cs="Arial" w:eastAsia="Arial" w:hAnsi="Arial"/>
          <w:b/>
          <w:bCs/>
          <w:color w:val="2E6B9E"/>
          <w:sz w:val="28"/>
          <w:szCs w:val="28"/>
        </w:rPr>
        <w:t xml:space="preserve">Self-Regulatory Organization Enforcement Proceedings</w:t>
      </w:r>
    </w:p>
    <w:p>
      <w:pPr>
        <w:spacing w:after="120" w:line="276" w:lineRule="auto"/>
      </w:pPr>
      <w:r>
        <w:rPr>
          <w:rFonts w:ascii="Arial" w:cs="Arial" w:eastAsia="Arial" w:hAnsi="Arial"/>
          <w:color w:val="1A1A1A"/>
          <w:sz w:val="24"/>
          <w:szCs w:val="24"/>
        </w:rPr>
        <w:t xml:space="preserve">BWP and its management persons have not been involved in legal or disciplinary events that are material to a Client’s or prospective Client’s evaluation of BWP or the integrity of its management.</w:t>
      </w:r>
    </w:p>
    <w:p>
      <w:pPr>
        <w:pStyle w:val="Heading1"/>
        <w:spacing w:after="160" w:before="360"/>
        <w:keepNext/>
        <w:keepLines/>
      </w:pPr>
      <w:r>
        <w:rPr>
          <w:rFonts w:ascii="Arial" w:cs="Arial" w:eastAsia="Arial" w:hAnsi="Arial"/>
          <w:b/>
          <w:bCs/>
          <w:color w:val="1B3A5C"/>
          <w:sz w:val="32"/>
          <w:szCs w:val="32"/>
        </w:rPr>
        <w:t xml:space="preserve">Item 10: Other Financial Industry Activities and Affiliations</w:t>
      </w:r>
    </w:p>
    <w:p>
      <w:pPr>
        <w:pStyle w:val="Heading2"/>
        <w:spacing w:after="120" w:before="280"/>
        <w:keepNext/>
        <w:keepLines/>
      </w:pPr>
      <w:r>
        <w:rPr>
          <w:rFonts w:ascii="Arial" w:cs="Arial" w:eastAsia="Arial" w:hAnsi="Arial"/>
          <w:b/>
          <w:bCs/>
          <w:color w:val="2E6B9E"/>
          <w:sz w:val="28"/>
          <w:szCs w:val="28"/>
        </w:rPr>
        <w:t xml:space="preserve">Broker-Dealer Affiliation</w:t>
      </w:r>
    </w:p>
    <w:p>
      <w:pPr>
        <w:spacing w:after="120" w:line="276" w:lineRule="auto"/>
      </w:pPr>
      <w:r>
        <w:rPr>
          <w:rFonts w:ascii="Arial" w:cs="Arial" w:eastAsia="Arial" w:hAnsi="Arial"/>
          <w:color w:val="1A1A1A"/>
          <w:sz w:val="24"/>
          <w:szCs w:val="24"/>
        </w:rPr>
        <w:t xml:space="preserve">Neither BWP or its management persons is registered, or have an application pending to register, as a broker-dealer or a registered representative of a broker-dealer.</w:t>
      </w:r>
    </w:p>
    <w:p>
      <w:pPr>
        <w:pStyle w:val="Heading2"/>
        <w:spacing w:after="120" w:before="280"/>
        <w:keepNext/>
        <w:keepLines/>
      </w:pPr>
      <w:r>
        <w:rPr>
          <w:rFonts w:ascii="Arial" w:cs="Arial" w:eastAsia="Arial" w:hAnsi="Arial"/>
          <w:b/>
          <w:bCs/>
          <w:color w:val="2E6B9E"/>
          <w:sz w:val="28"/>
          <w:szCs w:val="28"/>
        </w:rPr>
        <w:t xml:space="preserve">Other Affiliations</w:t>
      </w:r>
    </w:p>
    <w:p>
      <w:pPr>
        <w:spacing w:after="120" w:line="276" w:lineRule="auto"/>
      </w:pPr>
      <w:r>
        <w:rPr>
          <w:rFonts w:ascii="Arial" w:cs="Arial" w:eastAsia="Arial" w:hAnsi="Arial"/>
          <w:color w:val="1A1A1A"/>
          <w:sz w:val="24"/>
          <w:szCs w:val="24"/>
        </w:rPr>
        <w:t xml:space="preserve">Neither BWP or its management persons is registered, or have an application pending to register, as a futures commission merchant, commodity pool operator, commodity trading advisor, or an associated person of the foregoing entities.</w:t>
      </w:r>
    </w:p>
    <w:p>
      <w:pPr>
        <w:pStyle w:val="Heading2"/>
        <w:spacing w:after="120" w:before="280"/>
        <w:keepNext/>
        <w:keepLines/>
      </w:pPr>
      <w:r>
        <w:rPr>
          <w:rFonts w:ascii="Arial" w:cs="Arial" w:eastAsia="Arial" w:hAnsi="Arial"/>
          <w:b/>
          <w:bCs/>
          <w:color w:val="2E6B9E"/>
          <w:sz w:val="28"/>
          <w:szCs w:val="28"/>
        </w:rPr>
        <w:t xml:space="preserve">Related Persons</w:t>
      </w:r>
    </w:p>
    <w:p>
      <w:pPr>
        <w:spacing w:after="120" w:line="276" w:lineRule="auto"/>
      </w:pPr>
      <w:r>
        <w:rPr>
          <w:rFonts w:ascii="Arial" w:cs="Arial" w:eastAsia="Arial" w:hAnsi="Arial"/>
          <w:color w:val="1A1A1A"/>
          <w:sz w:val="24"/>
          <w:szCs w:val="24"/>
        </w:rPr>
        <w:t xml:space="preserve">Neither BWP or its management persons have any relationship or arrangement with any related parties.</w:t>
      </w:r>
    </w:p>
    <w:p>
      <w:pPr>
        <w:spacing w:after="120" w:line="276" w:lineRule="auto"/>
      </w:pPr>
      <w:r>
        <w:rPr>
          <w:rFonts w:ascii="Arial" w:cs="Arial" w:eastAsia="Arial" w:hAnsi="Arial"/>
          <w:color w:val="1A1A1A"/>
          <w:sz w:val="24"/>
          <w:szCs w:val="24"/>
        </w:rPr>
        <w:t xml:space="preserve">Jim Kilgore is currently a licensed insurance agent, however, he no longer sells any insurance products, and is not affiliated with any insurance companies. Jim Kilgore will not sell any insurance products to clients or prospective clients of BWP.</w:t>
      </w:r>
    </w:p>
    <w:p>
      <w:pPr>
        <w:pStyle w:val="Heading2"/>
        <w:spacing w:after="120" w:before="280"/>
        <w:keepNext/>
        <w:keepLines/>
      </w:pPr>
      <w:r>
        <w:rPr>
          <w:rFonts w:ascii="Arial" w:cs="Arial" w:eastAsia="Arial" w:hAnsi="Arial"/>
          <w:b/>
          <w:bCs/>
          <w:color w:val="2E6B9E"/>
          <w:sz w:val="28"/>
          <w:szCs w:val="28"/>
        </w:rPr>
        <w:t xml:space="preserve">Recommendations or Selections of Other Investment Advisers</w:t>
      </w:r>
    </w:p>
    <w:p>
      <w:pPr>
        <w:spacing w:after="120" w:line="276" w:lineRule="auto"/>
      </w:pPr>
      <w:r>
        <w:rPr>
          <w:rFonts w:ascii="Arial" w:cs="Arial" w:eastAsia="Arial" w:hAnsi="Arial"/>
          <w:color w:val="1A1A1A"/>
          <w:sz w:val="24"/>
          <w:szCs w:val="24"/>
        </w:rPr>
        <w:t xml:space="preserve">BWP does not recommend or select other investment advisers for our clients.</w:t>
      </w:r>
    </w:p>
    <w:p>
      <w:pPr>
        <w:pStyle w:val="Heading1"/>
        <w:spacing w:after="160" w:before="360"/>
        <w:keepNext/>
        <w:keepLines/>
      </w:pPr>
      <w:r>
        <w:rPr>
          <w:rFonts w:ascii="Arial" w:cs="Arial" w:eastAsia="Arial" w:hAnsi="Arial"/>
          <w:b/>
          <w:bCs/>
          <w:color w:val="1B3A5C"/>
          <w:sz w:val="32"/>
          <w:szCs w:val="32"/>
        </w:rPr>
        <w:t xml:space="preserve">Item 11: Code of Ethics, Participation or Interest in Client Transactions and Personal Trading</w:t>
      </w:r>
    </w:p>
    <w:p>
      <w:pPr>
        <w:spacing w:after="120" w:line="276" w:lineRule="auto"/>
      </w:pPr>
      <w:r>
        <w:rPr>
          <w:rFonts w:ascii="Arial" w:cs="Arial" w:eastAsia="Arial" w:hAnsi="Arial"/>
          <w:color w:val="1A1A1A"/>
          <w:sz w:val="24"/>
          <w:szCs w:val="24"/>
        </w:rPr>
        <w:t xml:space="preserve">As a fiduciary, our firm has a duty of utmost good faith to act solely in the best interests of each Client. Our Clients entrust us with their funds and personal information, which in turn places a high standard on our conduct and integrity. Our fiduciary duty is a core aspect of our Code of Ethics and represents the expected basis of all of our dealings. The firm also adheres to the Code of Ethics and Professional Responsibility adopted by the CFP® Board of Standards Inc., and accepts the obligation not only to comply with the mandates and requirements of all applicable laws and regulations but also to take responsibility to act in an ethical and professionally responsible manner in all professional services and activities.</w:t>
      </w:r>
    </w:p>
    <w:p>
      <w:pPr>
        <w:pStyle w:val="Heading2"/>
        <w:spacing w:after="120" w:before="280"/>
        <w:keepNext/>
        <w:keepLines/>
      </w:pPr>
      <w:r>
        <w:rPr>
          <w:rFonts w:ascii="Arial" w:cs="Arial" w:eastAsia="Arial" w:hAnsi="Arial"/>
          <w:b/>
          <w:bCs/>
          <w:color w:val="2E6B9E"/>
          <w:sz w:val="28"/>
          <w:szCs w:val="28"/>
        </w:rPr>
        <w:t xml:space="preserve">Code of Ethics Description</w:t>
      </w:r>
    </w:p>
    <w:p>
      <w:pPr>
        <w:spacing w:after="120" w:line="276" w:lineRule="auto"/>
      </w:pPr>
      <w:r>
        <w:rPr>
          <w:rFonts w:ascii="Arial" w:cs="Arial" w:eastAsia="Arial" w:hAnsi="Arial"/>
          <w:color w:val="1A1A1A"/>
          <w:sz w:val="24"/>
          <w:szCs w:val="24"/>
        </w:rPr>
        <w:t xml:space="preserve">This Code of Ethics does not attempt to identify all possible conflicts of interest, and compliance with each of its specific provisions will not shield our firm or its access persons from liability for misconduct that violates a fiduciary duty to our Clients. A summary of the Code of Ethics’ Principles is outlined below:</w:t>
      </w:r>
    </w:p>
    <w:p>
      <w:pPr>
        <w:pStyle w:val="ListParagraph"/>
        <w:numPr>
          <w:ilvl w:val="0"/>
          <w:numId w:val="1"/>
        </w:numPr>
        <w:spacing w:after="80" w:line="276" w:lineRule="auto"/>
      </w:pPr>
      <w:r>
        <w:rPr>
          <w:rFonts w:ascii="Arial" w:cs="Arial" w:eastAsia="Arial" w:hAnsi="Arial"/>
          <w:color w:val="1A1A1A"/>
          <w:sz w:val="24"/>
          <w:szCs w:val="24"/>
        </w:rPr>
        <w:t xml:space="preserve">Integrity - Access persons shall offer and provide professional services with integrity.</w:t>
      </w:r>
    </w:p>
    <w:p>
      <w:pPr>
        <w:pStyle w:val="ListParagraph"/>
        <w:numPr>
          <w:ilvl w:val="0"/>
          <w:numId w:val="1"/>
        </w:numPr>
        <w:spacing w:after="80" w:line="276" w:lineRule="auto"/>
      </w:pPr>
      <w:r>
        <w:rPr>
          <w:rFonts w:ascii="Arial" w:cs="Arial" w:eastAsia="Arial" w:hAnsi="Arial"/>
          <w:color w:val="1A1A1A"/>
          <w:sz w:val="24"/>
          <w:szCs w:val="24"/>
        </w:rPr>
        <w:t xml:space="preserve">Objectivity - Access persons shall be objective in providing professional services to Clients.</w:t>
      </w:r>
    </w:p>
    <w:p>
      <w:pPr>
        <w:pStyle w:val="ListParagraph"/>
        <w:numPr>
          <w:ilvl w:val="0"/>
          <w:numId w:val="1"/>
        </w:numPr>
        <w:spacing w:after="80" w:line="276" w:lineRule="auto"/>
      </w:pPr>
      <w:r>
        <w:rPr>
          <w:rFonts w:ascii="Arial" w:cs="Arial" w:eastAsia="Arial" w:hAnsi="Arial"/>
          <w:color w:val="1A1A1A"/>
          <w:sz w:val="24"/>
          <w:szCs w:val="24"/>
        </w:rPr>
        <w:t xml:space="preserve">Competence - Access persons shall provide services to Clients competently and maintain the necessary knowledge and skill to continue to do so in those areas in which they are engaged.</w:t>
      </w:r>
    </w:p>
    <w:p>
      <w:pPr>
        <w:pStyle w:val="ListParagraph"/>
        <w:numPr>
          <w:ilvl w:val="0"/>
          <w:numId w:val="1"/>
        </w:numPr>
        <w:spacing w:after="80" w:line="276" w:lineRule="auto"/>
      </w:pPr>
      <w:r>
        <w:rPr>
          <w:rFonts w:ascii="Arial" w:cs="Arial" w:eastAsia="Arial" w:hAnsi="Arial"/>
          <w:color w:val="1A1A1A"/>
          <w:sz w:val="24"/>
          <w:szCs w:val="24"/>
        </w:rPr>
        <w:t xml:space="preserve">Fairness - Access persons shall perform professional services in a manner that is fair and reasonable to Clients, principals, partners, and employers, and shall disclose conflict(s) of interest in providing such services.</w:t>
      </w:r>
    </w:p>
    <w:p>
      <w:pPr>
        <w:pStyle w:val="ListParagraph"/>
        <w:numPr>
          <w:ilvl w:val="0"/>
          <w:numId w:val="1"/>
        </w:numPr>
        <w:spacing w:after="80" w:line="276" w:lineRule="auto"/>
      </w:pPr>
      <w:r>
        <w:rPr>
          <w:rFonts w:ascii="Arial" w:cs="Arial" w:eastAsia="Arial" w:hAnsi="Arial"/>
          <w:color w:val="1A1A1A"/>
          <w:sz w:val="24"/>
          <w:szCs w:val="24"/>
        </w:rPr>
        <w:t xml:space="preserve">Confidentiality - Access persons shall not disclose confidential Client information without the specific consent of the Client unless in response to proper legal process, or as required by law.</w:t>
      </w:r>
    </w:p>
    <w:p>
      <w:pPr>
        <w:pStyle w:val="ListParagraph"/>
        <w:numPr>
          <w:ilvl w:val="0"/>
          <w:numId w:val="1"/>
        </w:numPr>
        <w:spacing w:after="80" w:line="276" w:lineRule="auto"/>
      </w:pPr>
      <w:r>
        <w:rPr>
          <w:rFonts w:ascii="Arial" w:cs="Arial" w:eastAsia="Arial" w:hAnsi="Arial"/>
          <w:color w:val="1A1A1A"/>
          <w:sz w:val="24"/>
          <w:szCs w:val="24"/>
        </w:rPr>
        <w:t xml:space="preserve">Professionalism - Access persons conduct in all matters shall reflect the credit of the profession.</w:t>
      </w:r>
    </w:p>
    <w:p>
      <w:pPr>
        <w:pStyle w:val="ListParagraph"/>
        <w:numPr>
          <w:ilvl w:val="0"/>
          <w:numId w:val="1"/>
        </w:numPr>
        <w:spacing w:after="80" w:line="276" w:lineRule="auto"/>
      </w:pPr>
      <w:r>
        <w:rPr>
          <w:rFonts w:ascii="Arial" w:cs="Arial" w:eastAsia="Arial" w:hAnsi="Arial"/>
          <w:color w:val="1A1A1A"/>
          <w:sz w:val="24"/>
          <w:szCs w:val="24"/>
        </w:rPr>
        <w:t xml:space="preserve">Diligence - Access persons shall act diligently in providing professional services.</w:t>
      </w:r>
    </w:p>
    <w:p>
      <w:pPr>
        <w:spacing w:after="120" w:line="276" w:lineRule="auto"/>
      </w:pPr>
      <w:r>
        <w:rPr>
          <w:rFonts w:ascii="Arial" w:cs="Arial" w:eastAsia="Arial" w:hAnsi="Arial"/>
          <w:color w:val="1A1A1A"/>
          <w:sz w:val="24"/>
          <w:szCs w:val="24"/>
        </w:rPr>
        <w:t xml:space="preserve">We periodically review and amend our Code of Ethics to ensure that it remains current, and we require all firm access persons to attest to their understanding of and adherence to the Code of Ethics at least annually. Our firm will provide a copy of its Code of Ethics to any Client or prospective Client upon request.</w:t>
      </w:r>
    </w:p>
    <w:p>
      <w:pPr>
        <w:pStyle w:val="Heading2"/>
        <w:spacing w:after="120" w:before="280"/>
        <w:keepNext/>
        <w:keepLines/>
      </w:pPr>
      <w:r>
        <w:rPr>
          <w:rFonts w:ascii="Arial" w:cs="Arial" w:eastAsia="Arial" w:hAnsi="Arial"/>
          <w:b/>
          <w:bCs/>
          <w:color w:val="2E6B9E"/>
          <w:sz w:val="28"/>
          <w:szCs w:val="28"/>
        </w:rPr>
        <w:t xml:space="preserve">Investment Recommendations Involving a Material Financial Interest and Conflicts of Interest</w:t>
      </w:r>
    </w:p>
    <w:p>
      <w:pPr>
        <w:spacing w:after="120" w:line="276" w:lineRule="auto"/>
      </w:pPr>
      <w:r>
        <w:rPr>
          <w:rFonts w:ascii="Arial" w:cs="Arial" w:eastAsia="Arial" w:hAnsi="Arial"/>
          <w:color w:val="1A1A1A"/>
          <w:sz w:val="24"/>
          <w:szCs w:val="24"/>
        </w:rPr>
        <w:t xml:space="preserve">Neither our firm, its access persons, or any related person is authorized to recommend to a Client or effect a transaction for a Client, involving any security in which our firm or a related person has a material financial interest.</w:t>
      </w:r>
    </w:p>
    <w:p>
      <w:pPr>
        <w:pStyle w:val="Heading2"/>
        <w:spacing w:after="120" w:before="280"/>
        <w:keepNext/>
        <w:keepLines/>
      </w:pPr>
      <w:r>
        <w:rPr>
          <w:rFonts w:ascii="Arial" w:cs="Arial" w:eastAsia="Arial" w:hAnsi="Arial"/>
          <w:b/>
          <w:bCs/>
          <w:color w:val="2E6B9E"/>
          <w:sz w:val="28"/>
          <w:szCs w:val="28"/>
        </w:rPr>
        <w:t xml:space="preserve">Advisory Firm Purchase of Same Securities Recommended to Clients and Conflicts of Interest</w:t>
      </w:r>
    </w:p>
    <w:p>
      <w:pPr>
        <w:spacing w:after="120" w:line="276" w:lineRule="auto"/>
      </w:pPr>
      <w:r>
        <w:rPr>
          <w:rFonts w:ascii="Arial" w:cs="Arial" w:eastAsia="Arial" w:hAnsi="Arial"/>
          <w:color w:val="1A1A1A"/>
          <w:sz w:val="24"/>
          <w:szCs w:val="24"/>
        </w:rPr>
        <w:t xml:space="preserve">Our firm, its access persons, and its related persons may buy or sell securities similar to, or different from, those we recommend to Clients. In an effort to reduce or eliminate certain conflicts of interest, our Code of Ethics may require that we restrict or prohibit access persons’ transactions in specific reportable securities. Any exceptions or trading pre-clearance must be approved by BWP’s Chief Compliance Officer in advance of the transaction in an account.</w:t>
      </w:r>
    </w:p>
    <w:p>
      <w:pPr>
        <w:pStyle w:val="Heading2"/>
        <w:spacing w:after="120" w:before="280"/>
        <w:keepNext/>
        <w:keepLines/>
      </w:pPr>
      <w:r>
        <w:rPr>
          <w:rFonts w:ascii="Arial" w:cs="Arial" w:eastAsia="Arial" w:hAnsi="Arial"/>
          <w:b/>
          <w:bCs/>
          <w:color w:val="2E6B9E"/>
          <w:sz w:val="28"/>
          <w:szCs w:val="28"/>
        </w:rPr>
        <w:t xml:space="preserve">Trading Securities At/Around the Same Time as Client's Securities</w:t>
      </w:r>
    </w:p>
    <w:p>
      <w:pPr>
        <w:spacing w:after="120" w:line="276" w:lineRule="auto"/>
      </w:pPr>
      <w:r>
        <w:rPr>
          <w:rFonts w:ascii="Arial" w:cs="Arial" w:eastAsia="Arial" w:hAnsi="Arial"/>
          <w:color w:val="1A1A1A"/>
          <w:sz w:val="24"/>
          <w:szCs w:val="24"/>
        </w:rPr>
        <w:t xml:space="preserve">From time to time our firm, its access persons, or its related persons may buy or sell securities for themselves at or around the same time as they buy or sell securities for Clients’ account(s). To address this conflict, it is our policy that neither our firm or access persons shall have priority over Clients’ accounts in the purchase or sale of securities.</w:t>
      </w:r>
    </w:p>
    <w:p>
      <w:pPr>
        <w:pStyle w:val="Heading1"/>
        <w:spacing w:after="160" w:before="360"/>
        <w:keepNext/>
        <w:keepLines/>
      </w:pPr>
      <w:r>
        <w:rPr>
          <w:rFonts w:ascii="Arial" w:cs="Arial" w:eastAsia="Arial" w:hAnsi="Arial"/>
          <w:b/>
          <w:bCs/>
          <w:color w:val="1B3A5C"/>
          <w:sz w:val="32"/>
          <w:szCs w:val="32"/>
        </w:rPr>
        <w:t xml:space="preserve">Item 12: Brokerage Practices</w:t>
      </w:r>
    </w:p>
    <w:p>
      <w:pPr>
        <w:pStyle w:val="Heading2"/>
        <w:spacing w:after="120" w:before="280"/>
        <w:keepNext/>
        <w:keepLines/>
      </w:pPr>
      <w:r>
        <w:rPr>
          <w:rFonts w:ascii="Arial" w:cs="Arial" w:eastAsia="Arial" w:hAnsi="Arial"/>
          <w:b/>
          <w:bCs/>
          <w:color w:val="2E6B9E"/>
          <w:sz w:val="28"/>
          <w:szCs w:val="28"/>
        </w:rPr>
        <w:t xml:space="preserve">Factors Used to Select Custodians</w:t>
      </w:r>
    </w:p>
    <w:p>
      <w:pPr>
        <w:spacing w:after="120" w:line="276" w:lineRule="auto"/>
      </w:pPr>
      <w:r>
        <w:rPr>
          <w:rFonts w:ascii="Arial" w:cs="Arial" w:eastAsia="Arial" w:hAnsi="Arial"/>
          <w:color w:val="1A1A1A"/>
          <w:sz w:val="24"/>
          <w:szCs w:val="24"/>
        </w:rPr>
        <w:t xml:space="preserve">Specific custodian recommendations are made to the Client based on their need for such services. We recommend custodians based on the reputation and services provided by the firm. In recommending custodians, we have an obligation to seek the “best execution” of transactions in Client accounts. The determinative factor in the analysis of best execution is not the lowest possible commission cost, but whether the transaction represents the best qualitative execution, taking into consideration the full range of the custodian’s services.</w:t>
      </w:r>
    </w:p>
    <w:p>
      <w:pPr>
        <w:spacing w:after="120" w:line="276" w:lineRule="auto"/>
      </w:pPr>
      <w:r>
        <w:rPr>
          <w:rFonts w:ascii="Arial" w:cs="Arial" w:eastAsia="Arial" w:hAnsi="Arial"/>
          <w:color w:val="1A1A1A"/>
          <w:sz w:val="24"/>
          <w:szCs w:val="24"/>
        </w:rPr>
        <w:t xml:space="preserve">The factors we consider when evaluating a custodian for best execution include, without limitation: Combination of transaction execution services and asset custody services; Capability to execute, clear, and settle trades; Capability to facilitate transfers and payments to and from accounts; Breadth of available investment products; Availability of investment research and tools; Quality of services; Competitiveness of the price of those services and willingness to negotiate the prices; Reputation, financial strength, security and stability; Prior service to us and our clients.</w:t>
      </w:r>
    </w:p>
    <w:p>
      <w:pPr>
        <w:spacing w:after="120" w:line="276" w:lineRule="auto"/>
      </w:pPr>
      <w:r>
        <w:rPr>
          <w:rFonts w:ascii="Arial" w:cs="Arial" w:eastAsia="Arial" w:hAnsi="Arial"/>
          <w:color w:val="1A1A1A"/>
          <w:sz w:val="24"/>
          <w:szCs w:val="24"/>
        </w:rPr>
        <w:t xml:space="preserve">With this in consideration, our firm recommends Altruist Financial, LLC, an independent and unaffiliated SEC registered broker-dealer firm and member of the Financial Industry Regulatory Authority (“FINRA”) and the Securities Investor Protection Corporation (“SIPC”). Although Clients may request us to use a custodian of their choosing, we generally recommend that Clients open investment accounts with Altruist. We are not affiliated with Altruist. The Client will ultimately make the final decision of the custodian to be used to hold the Client’s investments by signing the selected custodian’s account opening documentation.</w:t>
      </w:r>
    </w:p>
    <w:p>
      <w:pPr>
        <w:pStyle w:val="Heading2"/>
        <w:spacing w:after="120" w:before="280"/>
        <w:keepNext/>
        <w:keepLines/>
      </w:pPr>
      <w:r>
        <w:rPr>
          <w:rFonts w:ascii="Arial" w:cs="Arial" w:eastAsia="Arial" w:hAnsi="Arial"/>
          <w:b/>
          <w:bCs/>
          <w:color w:val="2E6B9E"/>
          <w:sz w:val="28"/>
          <w:szCs w:val="28"/>
        </w:rPr>
        <w:t xml:space="preserve">Research and Other Soft-Dollar Benefits</w:t>
      </w:r>
    </w:p>
    <w:p>
      <w:pPr>
        <w:spacing w:after="120" w:line="276" w:lineRule="auto"/>
      </w:pPr>
      <w:r>
        <w:rPr>
          <w:rFonts w:ascii="Arial" w:cs="Arial" w:eastAsia="Arial" w:hAnsi="Arial"/>
          <w:color w:val="1A1A1A"/>
          <w:sz w:val="24"/>
          <w:szCs w:val="24"/>
        </w:rPr>
        <w:t xml:space="preserve">We do not have any soft-dollar arrangements with custodians whereby soft-dollar credits, used to purchase products and services, are earned directly in proportion to the amount of commissions paid by a Client.</w:t>
      </w:r>
    </w:p>
    <w:p>
      <w:pPr>
        <w:pStyle w:val="Heading2"/>
        <w:spacing w:after="120" w:before="280"/>
        <w:keepNext/>
        <w:keepLines/>
      </w:pPr>
      <w:r>
        <w:rPr>
          <w:rFonts w:ascii="Arial" w:cs="Arial" w:eastAsia="Arial" w:hAnsi="Arial"/>
          <w:b/>
          <w:bCs/>
          <w:color w:val="2E6B9E"/>
          <w:sz w:val="28"/>
          <w:szCs w:val="28"/>
        </w:rPr>
        <w:t xml:space="preserve">Brokerage for Client Referrals</w:t>
      </w:r>
    </w:p>
    <w:p>
      <w:pPr>
        <w:spacing w:after="120" w:line="276" w:lineRule="auto"/>
      </w:pPr>
      <w:r>
        <w:rPr>
          <w:rFonts w:ascii="Arial" w:cs="Arial" w:eastAsia="Arial" w:hAnsi="Arial"/>
          <w:color w:val="1A1A1A"/>
          <w:sz w:val="24"/>
          <w:szCs w:val="24"/>
        </w:rPr>
        <w:t xml:space="preserve">We receive no referrals from a custodian, broker-dealer or third party in exchange for using that custodian, broker-dealer or third party.</w:t>
      </w:r>
    </w:p>
    <w:p>
      <w:pPr>
        <w:pStyle w:val="Heading2"/>
        <w:spacing w:after="120" w:before="280"/>
        <w:keepNext/>
        <w:keepLines/>
      </w:pPr>
      <w:r>
        <w:rPr>
          <w:rFonts w:ascii="Arial" w:cs="Arial" w:eastAsia="Arial" w:hAnsi="Arial"/>
          <w:b/>
          <w:bCs/>
          <w:color w:val="2E6B9E"/>
          <w:sz w:val="28"/>
          <w:szCs w:val="28"/>
        </w:rPr>
        <w:t xml:space="preserve">Clients Directing Which Broker/Dealer/Custodian to Use</w:t>
      </w:r>
    </w:p>
    <w:p>
      <w:pPr>
        <w:spacing w:after="120" w:line="276" w:lineRule="auto"/>
      </w:pPr>
      <w:r>
        <w:rPr>
          <w:rFonts w:ascii="Arial" w:cs="Arial" w:eastAsia="Arial" w:hAnsi="Arial"/>
          <w:color w:val="1A1A1A"/>
          <w:sz w:val="24"/>
          <w:szCs w:val="24"/>
        </w:rPr>
        <w:t xml:space="preserve">Our firm recommends that Clients establish account(s) at Altruist to execute transactions through. We will assist with establishing your account(s) at Altruist. However, we will not have the authority to open accounts on the Client’s behalf. Not all investment advisers require their Clients to use their recommended custodian. By recommending that Clients use Altruist, we may be unable to achieve most favorable execution of Client transactions, and this practice may cost Clients more money.</w:t>
      </w:r>
    </w:p>
    <w:p>
      <w:pPr>
        <w:pStyle w:val="Heading2"/>
        <w:spacing w:after="120" w:before="280"/>
        <w:keepNext/>
        <w:keepLines/>
      </w:pPr>
      <w:r>
        <w:rPr>
          <w:rFonts w:ascii="Arial" w:cs="Arial" w:eastAsia="Arial" w:hAnsi="Arial"/>
          <w:b/>
          <w:bCs/>
          <w:color w:val="2E6B9E"/>
          <w:sz w:val="28"/>
          <w:szCs w:val="28"/>
        </w:rPr>
        <w:t xml:space="preserve">Aggregating (Block) Trading for Multiple Client Accounts</w:t>
      </w:r>
    </w:p>
    <w:p>
      <w:pPr>
        <w:spacing w:after="120" w:line="276" w:lineRule="auto"/>
      </w:pPr>
      <w:r>
        <w:rPr>
          <w:rFonts w:ascii="Arial" w:cs="Arial" w:eastAsia="Arial" w:hAnsi="Arial"/>
          <w:color w:val="1A1A1A"/>
          <w:sz w:val="24"/>
          <w:szCs w:val="24"/>
        </w:rPr>
        <w:t xml:space="preserve">Generally, we combine multiple orders for shares of the same securities purchased for advisory accounts we manage (this practice is commonly referred to as “block trading”). We will then distribute a portion of the shares to participating accounts in a fair and equitable manner. The distribution of the shares purchased is typically proportionate to the size of the account, but it is not based on account performance or the amount or structure of management fees.</w:t>
      </w:r>
    </w:p>
    <w:p>
      <w:pPr>
        <w:pStyle w:val="Heading1"/>
        <w:spacing w:after="160" w:before="360"/>
        <w:keepNext/>
        <w:keepLines/>
      </w:pPr>
      <w:r>
        <w:rPr>
          <w:rFonts w:ascii="Arial" w:cs="Arial" w:eastAsia="Arial" w:hAnsi="Arial"/>
          <w:b/>
          <w:bCs/>
          <w:color w:val="1B3A5C"/>
          <w:sz w:val="32"/>
          <w:szCs w:val="32"/>
        </w:rPr>
        <w:t xml:space="preserve">Item 13: Review of Accounts</w:t>
      </w:r>
    </w:p>
    <w:p>
      <w:pPr>
        <w:pStyle w:val="Heading2"/>
        <w:spacing w:after="120" w:before="280"/>
        <w:keepNext/>
        <w:keepLines/>
      </w:pPr>
      <w:r>
        <w:rPr>
          <w:rFonts w:ascii="Arial" w:cs="Arial" w:eastAsia="Arial" w:hAnsi="Arial"/>
          <w:b/>
          <w:bCs/>
          <w:color w:val="2E6B9E"/>
          <w:sz w:val="28"/>
          <w:szCs w:val="28"/>
        </w:rPr>
        <w:t xml:space="preserve">Periodic Reviews</w:t>
      </w:r>
    </w:p>
    <w:p>
      <w:pPr>
        <w:spacing w:after="120" w:line="276" w:lineRule="auto"/>
      </w:pPr>
      <w:r>
        <w:rPr>
          <w:rFonts w:ascii="Arial" w:cs="Arial" w:eastAsia="Arial" w:hAnsi="Arial"/>
          <w:color w:val="1A1A1A"/>
          <w:sz w:val="24"/>
          <w:szCs w:val="24"/>
        </w:rPr>
        <w:t xml:space="preserve">Clients who engage us for investment management services will have their account(s) reviewed regularly on a quarterly basis by Jim Kilgore, CFP®, Managing Member and CCO. The account(s) are reviewed with regards to the Client’s investment policies and risk tolerance levels.</w:t>
      </w:r>
    </w:p>
    <w:p>
      <w:pPr>
        <w:pStyle w:val="Heading2"/>
        <w:spacing w:after="120" w:before="280"/>
        <w:keepNext/>
        <w:keepLines/>
      </w:pPr>
      <w:r>
        <w:rPr>
          <w:rFonts w:ascii="Arial" w:cs="Arial" w:eastAsia="Arial" w:hAnsi="Arial"/>
          <w:b/>
          <w:bCs/>
          <w:color w:val="2E6B9E"/>
          <w:sz w:val="28"/>
          <w:szCs w:val="28"/>
        </w:rPr>
        <w:t xml:space="preserve">Triggers of Reviews</w:t>
      </w:r>
    </w:p>
    <w:p>
      <w:pPr>
        <w:spacing w:after="120" w:line="276" w:lineRule="auto"/>
      </w:pPr>
      <w:r>
        <w:rPr>
          <w:rFonts w:ascii="Arial" w:cs="Arial" w:eastAsia="Arial" w:hAnsi="Arial"/>
          <w:color w:val="1A1A1A"/>
          <w:sz w:val="24"/>
          <w:szCs w:val="24"/>
        </w:rPr>
        <w:t xml:space="preserve">Events that may trigger a special review would be unusual performance, addition or deletions of Client-imposed restrictions, excessive draw-down, volatility in performance, or buy and sell decisions from the firm or per Client’s needs.</w:t>
      </w:r>
    </w:p>
    <w:p>
      <w:pPr>
        <w:pStyle w:val="Heading2"/>
        <w:spacing w:after="120" w:before="280"/>
        <w:keepNext/>
        <w:keepLines/>
      </w:pPr>
      <w:r>
        <w:rPr>
          <w:rFonts w:ascii="Arial" w:cs="Arial" w:eastAsia="Arial" w:hAnsi="Arial"/>
          <w:b/>
          <w:bCs/>
          <w:color w:val="2E6B9E"/>
          <w:sz w:val="28"/>
          <w:szCs w:val="28"/>
        </w:rPr>
        <w:t xml:space="preserve">Review Reports</w:t>
      </w:r>
    </w:p>
    <w:p>
      <w:pPr>
        <w:spacing w:after="120" w:line="276" w:lineRule="auto"/>
      </w:pPr>
      <w:r>
        <w:rPr>
          <w:rFonts w:ascii="Arial" w:cs="Arial" w:eastAsia="Arial" w:hAnsi="Arial"/>
          <w:color w:val="1A1A1A"/>
          <w:sz w:val="24"/>
          <w:szCs w:val="24"/>
        </w:rPr>
        <w:t xml:space="preserve">Clients will receive trade confirmations from the custodian(s) for each transaction in their accounts as well as monthly or quarterly statements and annual tax reporting statements from their custodian showing all activity in the accounts, such as receipt of dividends and interest.</w:t>
      </w:r>
    </w:p>
    <w:p>
      <w:pPr>
        <w:pStyle w:val="Heading2"/>
        <w:spacing w:after="120" w:before="280"/>
        <w:keepNext/>
        <w:keepLines/>
      </w:pPr>
      <w:r>
        <w:rPr>
          <w:rFonts w:ascii="Arial" w:cs="Arial" w:eastAsia="Arial" w:hAnsi="Arial"/>
          <w:b/>
          <w:bCs/>
          <w:color w:val="2E6B9E"/>
          <w:sz w:val="28"/>
          <w:szCs w:val="28"/>
        </w:rPr>
        <w:t xml:space="preserve">Privacy, Cybersecurity, and Business Continuity Policies</w:t>
      </w:r>
    </w:p>
    <w:p>
      <w:pPr>
        <w:spacing w:after="120" w:line="276" w:lineRule="auto"/>
      </w:pPr>
      <w:r>
        <w:rPr>
          <w:rFonts w:ascii="Arial" w:cs="Arial" w:eastAsia="Arial" w:hAnsi="Arial"/>
          <w:color w:val="1A1A1A"/>
          <w:sz w:val="24"/>
          <w:szCs w:val="24"/>
        </w:rPr>
        <w:t xml:space="preserve">BWP maintains written Privacy, Cybersecurity, and Business Continuity policies. BWP’s Privacy Policy describes how we collect, use, and protect client nonpublic personal information in accordance with Regulation S-P. BWP’s Cybersecurity Policy establishes safeguards for electronic data. BWP’s Business Continuity Plan addresses procedures for continuing operations in the event of a significant business disruption. Copies of these policies are available upon request.</w:t>
      </w:r>
    </w:p>
    <w:p>
      <w:pPr>
        <w:pStyle w:val="Heading1"/>
        <w:spacing w:after="160" w:before="360"/>
        <w:keepNext/>
        <w:keepLines/>
      </w:pPr>
      <w:r>
        <w:rPr>
          <w:rFonts w:ascii="Arial" w:cs="Arial" w:eastAsia="Arial" w:hAnsi="Arial"/>
          <w:b/>
          <w:bCs/>
          <w:color w:val="1B3A5C"/>
          <w:sz w:val="32"/>
          <w:szCs w:val="32"/>
        </w:rPr>
        <w:t xml:space="preserve">Item 14: Client Referrals and Other Compensation</w:t>
      </w:r>
    </w:p>
    <w:p>
      <w:pPr>
        <w:pStyle w:val="Heading2"/>
        <w:spacing w:after="120" w:before="280"/>
        <w:keepNext/>
        <w:keepLines/>
      </w:pPr>
      <w:r>
        <w:rPr>
          <w:rFonts w:ascii="Arial" w:cs="Arial" w:eastAsia="Arial" w:hAnsi="Arial"/>
          <w:b/>
          <w:bCs/>
          <w:color w:val="2E6B9E"/>
          <w:sz w:val="28"/>
          <w:szCs w:val="28"/>
        </w:rPr>
        <w:t xml:space="preserve">Compensation Received by BUCKEYE WEALTH PARTNERS</w:t>
      </w:r>
    </w:p>
    <w:p>
      <w:pPr>
        <w:spacing w:after="120" w:line="276" w:lineRule="auto"/>
      </w:pPr>
      <w:r>
        <w:rPr>
          <w:rFonts w:ascii="Arial" w:cs="Arial" w:eastAsia="Arial" w:hAnsi="Arial"/>
          <w:color w:val="1A1A1A"/>
          <w:sz w:val="24"/>
          <w:szCs w:val="24"/>
        </w:rPr>
        <w:t xml:space="preserve">BWP is a fee-only firm that is compensated solely by its Clients. BWP does not receive commissions or other sales-related compensation. Except as mentioned in Item 12 above, we do not receive any economic benefit, directly or indirectly, from any third party for advice rendered to our Clients.</w:t>
      </w:r>
    </w:p>
    <w:p>
      <w:pPr>
        <w:pStyle w:val="Heading2"/>
        <w:spacing w:after="120" w:before="280"/>
        <w:keepNext/>
        <w:keepLines/>
      </w:pPr>
      <w:r>
        <w:rPr>
          <w:rFonts w:ascii="Arial" w:cs="Arial" w:eastAsia="Arial" w:hAnsi="Arial"/>
          <w:b/>
          <w:bCs/>
          <w:color w:val="2E6B9E"/>
          <w:sz w:val="28"/>
          <w:szCs w:val="28"/>
        </w:rPr>
        <w:t xml:space="preserve">Client Referrals from Solicitors</w:t>
      </w:r>
    </w:p>
    <w:p>
      <w:pPr>
        <w:spacing w:after="120" w:line="276" w:lineRule="auto"/>
      </w:pPr>
      <w:r>
        <w:rPr>
          <w:rFonts w:ascii="Arial" w:cs="Arial" w:eastAsia="Arial" w:hAnsi="Arial"/>
          <w:color w:val="1A1A1A"/>
          <w:sz w:val="24"/>
          <w:szCs w:val="24"/>
        </w:rPr>
        <w:t xml:space="preserve">BWP does not, directly or indirectly, compensate any person who is not advisory personnel for Client referrals.</w:t>
      </w:r>
    </w:p>
    <w:p>
      <w:pPr>
        <w:pStyle w:val="Heading1"/>
        <w:spacing w:after="160" w:before="360"/>
        <w:keepNext/>
        <w:keepLines/>
      </w:pPr>
      <w:r>
        <w:rPr>
          <w:rFonts w:ascii="Arial" w:cs="Arial" w:eastAsia="Arial" w:hAnsi="Arial"/>
          <w:b/>
          <w:bCs/>
          <w:color w:val="1B3A5C"/>
          <w:sz w:val="32"/>
          <w:szCs w:val="32"/>
        </w:rPr>
        <w:t xml:space="preserve">Item 15: Custody</w:t>
      </w:r>
    </w:p>
    <w:p>
      <w:pPr>
        <w:spacing w:after="120" w:line="276" w:lineRule="auto"/>
      </w:pPr>
      <w:r>
        <w:rPr>
          <w:rFonts w:ascii="Arial" w:cs="Arial" w:eastAsia="Arial" w:hAnsi="Arial"/>
          <w:color w:val="1A1A1A"/>
          <w:sz w:val="24"/>
          <w:szCs w:val="24"/>
        </w:rPr>
        <w:t xml:space="preserve">BWP does not hold, directly or indirectly, Client funds or securities, or have any authority to obtain possession of them. All Client assets are held at a qualified custodian.</w:t>
      </w:r>
    </w:p>
    <w:p>
      <w:pPr>
        <w:spacing w:after="120" w:line="276" w:lineRule="auto"/>
      </w:pPr>
      <w:r>
        <w:rPr>
          <w:rFonts w:ascii="Arial" w:cs="Arial" w:eastAsia="Arial" w:hAnsi="Arial"/>
          <w:color w:val="1A1A1A"/>
          <w:sz w:val="24"/>
          <w:szCs w:val="24"/>
        </w:rPr>
        <w:t xml:space="preserve">If BWP deducts its advisory fee from Client’s account(s), the following safeguards will be applied:</w:t>
      </w:r>
    </w:p>
    <w:p>
      <w:pPr>
        <w:pStyle w:val="ListParagraph"/>
        <w:numPr>
          <w:ilvl w:val="0"/>
          <w:numId w:val="1"/>
        </w:numPr>
        <w:spacing w:after="80" w:line="276" w:lineRule="auto"/>
      </w:pPr>
      <w:r>
        <w:rPr>
          <w:rFonts w:ascii="Arial" w:cs="Arial" w:eastAsia="Arial" w:hAnsi="Arial"/>
          <w:color w:val="1A1A1A"/>
          <w:sz w:val="24"/>
          <w:szCs w:val="24"/>
        </w:rPr>
        <w:t xml:space="preserve">The Client will provide written authorization to BWP, permitting us to be paid directly from Client’s accounts held by the custodian.</w:t>
      </w:r>
    </w:p>
    <w:p>
      <w:pPr>
        <w:pStyle w:val="ListParagraph"/>
        <w:numPr>
          <w:ilvl w:val="0"/>
          <w:numId w:val="1"/>
        </w:numPr>
        <w:spacing w:after="80" w:line="276" w:lineRule="auto"/>
      </w:pPr>
      <w:r>
        <w:rPr>
          <w:rFonts w:ascii="Arial" w:cs="Arial" w:eastAsia="Arial" w:hAnsi="Arial"/>
          <w:color w:val="1A1A1A"/>
          <w:sz w:val="24"/>
          <w:szCs w:val="24"/>
        </w:rPr>
        <w:t xml:space="preserve">The custodian will send at least quarterly statements to the Client showing all disbursements from the accounts, including the amount of the advisory fee.</w:t>
      </w:r>
    </w:p>
    <w:p>
      <w:pPr>
        <w:spacing w:after="120" w:line="276" w:lineRule="auto"/>
      </w:pPr>
      <w:r>
        <w:rPr>
          <w:rFonts w:ascii="Arial" w:cs="Arial" w:eastAsia="Arial" w:hAnsi="Arial"/>
          <w:color w:val="1A1A1A"/>
          <w:sz w:val="24"/>
          <w:szCs w:val="24"/>
        </w:rPr>
        <w:t xml:space="preserve">In jurisdictions where required, BWP will send an itemized invoice to the Client at the same time it instructs the custodian to debit the advisory fee. Itemization includes the formula used to calculate the fee, the amount of assets under management the fee is based on, and the time period covered by the fee.</w:t>
      </w:r>
    </w:p>
    <w:p>
      <w:pPr>
        <w:spacing w:after="120" w:line="276" w:lineRule="auto"/>
      </w:pPr>
      <w:r>
        <w:rPr>
          <w:rFonts w:ascii="Arial" w:cs="Arial" w:eastAsia="Arial" w:hAnsi="Arial"/>
          <w:color w:val="1A1A1A"/>
          <w:sz w:val="24"/>
          <w:szCs w:val="24"/>
        </w:rPr>
        <w:t xml:space="preserve">We urge you to carefully review custodial statements and compare them to the account invoices or reports that we may provide to you and notify us of any discrepancies. Clients are responsible for verifying the accuracy of these fees as listed on the custodian’s brokerage statement as the custodian does not assume this responsibility.</w:t>
      </w:r>
    </w:p>
    <w:p>
      <w:pPr>
        <w:pStyle w:val="Heading1"/>
        <w:spacing w:after="160" w:before="360"/>
        <w:keepNext/>
        <w:keepLines/>
      </w:pPr>
      <w:r>
        <w:rPr>
          <w:rFonts w:ascii="Arial" w:cs="Arial" w:eastAsia="Arial" w:hAnsi="Arial"/>
          <w:b/>
          <w:bCs/>
          <w:color w:val="1B3A5C"/>
          <w:sz w:val="32"/>
          <w:szCs w:val="32"/>
        </w:rPr>
        <w:t xml:space="preserve">Item 16: Investment Discretion</w:t>
      </w:r>
    </w:p>
    <w:p>
      <w:pPr>
        <w:spacing w:after="120" w:line="276" w:lineRule="auto"/>
      </w:pPr>
      <w:r>
        <w:rPr>
          <w:rFonts w:ascii="Arial" w:cs="Arial" w:eastAsia="Arial" w:hAnsi="Arial"/>
          <w:color w:val="1A1A1A"/>
          <w:sz w:val="24"/>
          <w:szCs w:val="24"/>
        </w:rPr>
        <w:t xml:space="preserve">For those Client accounts where we provide Investment Management Services, BWP has discretionary authority and limited power of attorney to determine the securities and the amount of securities to be bought or sold for a Client’s account without having to obtain prior Client approval for each transaction. Investment discretion is explained to Clients in detail when an advisory relationship has commenced. At the start of the advisory relationship, the Client will execute a Limited Power of Attorney, which will grant our firm discretion over the account(s). Additionally, the discretionary relationship will be outlined in the Advisory Contract and signed by the Client. Clients may limit our discretion by requesting certain restrictions on investments. However, approval of such requests are at the firm’s sole discretion.</w:t>
      </w:r>
    </w:p>
    <w:p>
      <w:pPr>
        <w:pStyle w:val="Heading1"/>
        <w:spacing w:after="160" w:before="360"/>
        <w:keepNext/>
        <w:keepLines/>
      </w:pPr>
      <w:r>
        <w:rPr>
          <w:rFonts w:ascii="Arial" w:cs="Arial" w:eastAsia="Arial" w:hAnsi="Arial"/>
          <w:b/>
          <w:bCs/>
          <w:color w:val="1B3A5C"/>
          <w:sz w:val="32"/>
          <w:szCs w:val="32"/>
        </w:rPr>
        <w:t xml:space="preserve">Item 17: Voting Client Securities</w:t>
      </w:r>
    </w:p>
    <w:p>
      <w:pPr>
        <w:spacing w:after="120" w:line="276" w:lineRule="auto"/>
      </w:pPr>
      <w:r>
        <w:rPr>
          <w:rFonts w:ascii="Arial" w:cs="Arial" w:eastAsia="Arial" w:hAnsi="Arial"/>
          <w:color w:val="1A1A1A"/>
          <w:sz w:val="24"/>
          <w:szCs w:val="24"/>
        </w:rPr>
        <w:t xml:space="preserve">We do not vote Client proxies. Therefore, Clients maintain exclusive responsibility for: (1) voting proxies, and (2) acting on corporate actions pertaining to the Client’s investment assets. The Client shall instruct the Client’s qualified custodian to forward to the Client copies of all proxies and shareholder communications relating to the Client’s investment assets. If the Client would like our opinion on a particular proxy vote, they may contact us at the number listed on the cover of this brochure.</w:t>
      </w:r>
    </w:p>
    <w:p>
      <w:pPr>
        <w:spacing w:after="120" w:line="276" w:lineRule="auto"/>
      </w:pPr>
      <w:r>
        <w:rPr>
          <w:rFonts w:ascii="Arial" w:cs="Arial" w:eastAsia="Arial" w:hAnsi="Arial"/>
          <w:color w:val="1A1A1A"/>
          <w:sz w:val="24"/>
          <w:szCs w:val="24"/>
        </w:rPr>
        <w:t xml:space="preserve">In most cases, you will receive proxy materials directly from the account custodian. However, in the event we were to receive any written or electronic proxy materials, we would forward them directly to you by mail, unless you have authorized our firm to contact you by electronic mail, in which case, we would forward you any electronic solicitation to vote proxies.</w:t>
      </w:r>
    </w:p>
    <w:p>
      <w:pPr>
        <w:pStyle w:val="Heading1"/>
        <w:spacing w:after="160" w:before="360"/>
        <w:keepNext/>
        <w:keepLines/>
      </w:pPr>
      <w:r>
        <w:rPr>
          <w:rFonts w:ascii="Arial" w:cs="Arial" w:eastAsia="Arial" w:hAnsi="Arial"/>
          <w:b/>
          <w:bCs/>
          <w:color w:val="1B3A5C"/>
          <w:sz w:val="32"/>
          <w:szCs w:val="32"/>
        </w:rPr>
        <w:t xml:space="preserve">Item 18: Financial Information</w:t>
      </w:r>
    </w:p>
    <w:p>
      <w:pPr>
        <w:spacing w:after="120" w:line="276" w:lineRule="auto"/>
      </w:pPr>
      <w:r>
        <w:rPr>
          <w:rFonts w:ascii="Arial" w:cs="Arial" w:eastAsia="Arial" w:hAnsi="Arial"/>
          <w:color w:val="1A1A1A"/>
          <w:sz w:val="24"/>
          <w:szCs w:val="24"/>
        </w:rPr>
        <w:t xml:space="preserve">We have no financial commitment that impairs our ability to meet contractual and fiduciary commitments to our Clients, nor have we been the subject of any bankruptcy proceeding. We do not have custody of Client funds or securities, except as disclosed in Item 15 above, or require or solicit prepayment of more than $1,200 in fees six months or more in advance.</w:t>
      </w:r>
    </w:p>
    <w:p>
      <w:pPr>
        <w:pStyle w:val="Heading1"/>
        <w:spacing w:after="160" w:before="360"/>
        <w:keepNext/>
        <w:keepLines/>
      </w:pPr>
      <w:r>
        <w:rPr>
          <w:rFonts w:ascii="Arial" w:cs="Arial" w:eastAsia="Arial" w:hAnsi="Arial"/>
          <w:b/>
          <w:bCs/>
          <w:color w:val="1B3A5C"/>
          <w:sz w:val="32"/>
          <w:szCs w:val="32"/>
        </w:rPr>
        <w:t xml:space="preserve">Item 19: Requirements for State-Registered Advisers</w:t>
      </w:r>
    </w:p>
    <w:p>
      <w:pPr>
        <w:pStyle w:val="Heading2"/>
        <w:spacing w:after="120" w:before="280"/>
        <w:keepNext/>
        <w:keepLines/>
      </w:pPr>
      <w:r>
        <w:rPr>
          <w:rFonts w:ascii="Arial" w:cs="Arial" w:eastAsia="Arial" w:hAnsi="Arial"/>
          <w:b/>
          <w:bCs/>
          <w:color w:val="2E6B9E"/>
          <w:sz w:val="28"/>
          <w:szCs w:val="28"/>
        </w:rPr>
        <w:t xml:space="preserve">Principal Officers</w:t>
      </w:r>
    </w:p>
    <w:p>
      <w:pPr>
        <w:spacing w:after="120" w:line="276" w:lineRule="auto"/>
      </w:pPr>
      <w:r>
        <w:rPr>
          <w:rFonts w:ascii="Arial" w:cs="Arial" w:eastAsia="Arial" w:hAnsi="Arial"/>
          <w:color w:val="1A1A1A"/>
          <w:sz w:val="24"/>
          <w:szCs w:val="24"/>
        </w:rPr>
        <w:t xml:space="preserve">Jim Kilgore, CFP®, serves as BWP’s sole principal and CCO. Information about Jim’s education, business background, and outside business activities can be found on his ADV Part 2B, Brochure Supplement attached to this Brochure.</w:t>
      </w:r>
    </w:p>
    <w:p>
      <w:pPr>
        <w:pStyle w:val="Heading2"/>
        <w:spacing w:after="120" w:before="280"/>
        <w:keepNext/>
        <w:keepLines/>
      </w:pPr>
      <w:r>
        <w:rPr>
          <w:rFonts w:ascii="Arial" w:cs="Arial" w:eastAsia="Arial" w:hAnsi="Arial"/>
          <w:b/>
          <w:bCs/>
          <w:color w:val="2E6B9E"/>
          <w:sz w:val="28"/>
          <w:szCs w:val="28"/>
        </w:rPr>
        <w:t xml:space="preserve">Outside Business</w:t>
      </w:r>
    </w:p>
    <w:p>
      <w:pPr>
        <w:spacing w:after="120" w:line="276" w:lineRule="auto"/>
      </w:pPr>
      <w:r>
        <w:rPr>
          <w:rFonts w:ascii="Arial" w:cs="Arial" w:eastAsia="Arial" w:hAnsi="Arial"/>
          <w:color w:val="1A1A1A"/>
          <w:sz w:val="24"/>
          <w:szCs w:val="24"/>
        </w:rPr>
        <w:t xml:space="preserve">All outside business information, if applicable, of BWP is disclosed in Item 10 of this Brochure.</w:t>
      </w:r>
    </w:p>
    <w:p>
      <w:pPr>
        <w:pStyle w:val="Heading2"/>
        <w:spacing w:after="120" w:before="280"/>
        <w:keepNext/>
        <w:keepLines/>
      </w:pPr>
      <w:r>
        <w:rPr>
          <w:rFonts w:ascii="Arial" w:cs="Arial" w:eastAsia="Arial" w:hAnsi="Arial"/>
          <w:b/>
          <w:bCs/>
          <w:color w:val="2E6B9E"/>
          <w:sz w:val="28"/>
          <w:szCs w:val="28"/>
        </w:rPr>
        <w:t xml:space="preserve">Performance-Based Fees</w:t>
      </w:r>
    </w:p>
    <w:p>
      <w:pPr>
        <w:spacing w:after="120" w:line="276" w:lineRule="auto"/>
      </w:pPr>
      <w:r>
        <w:rPr>
          <w:rFonts w:ascii="Arial" w:cs="Arial" w:eastAsia="Arial" w:hAnsi="Arial"/>
          <w:color w:val="1A1A1A"/>
          <w:sz w:val="24"/>
          <w:szCs w:val="24"/>
        </w:rPr>
        <w:t xml:space="preserve">Neither BWP nor Jim Kilgore, CFP®, is compensated by performance-based fees.</w:t>
      </w:r>
    </w:p>
    <w:p>
      <w:pPr>
        <w:pStyle w:val="Heading2"/>
        <w:spacing w:after="120" w:before="280"/>
        <w:keepNext/>
        <w:keepLines/>
      </w:pPr>
      <w:r>
        <w:rPr>
          <w:rFonts w:ascii="Arial" w:cs="Arial" w:eastAsia="Arial" w:hAnsi="Arial"/>
          <w:b/>
          <w:bCs/>
          <w:color w:val="2E6B9E"/>
          <w:sz w:val="28"/>
          <w:szCs w:val="28"/>
        </w:rPr>
        <w:t xml:space="preserve">Material Disciplinary Disclosures</w:t>
      </w:r>
    </w:p>
    <w:p>
      <w:pPr>
        <w:spacing w:after="120" w:line="276" w:lineRule="auto"/>
      </w:pPr>
      <w:r>
        <w:rPr>
          <w:rFonts w:ascii="Arial" w:cs="Arial" w:eastAsia="Arial" w:hAnsi="Arial"/>
          <w:color w:val="1A1A1A"/>
          <w:sz w:val="24"/>
          <w:szCs w:val="24"/>
        </w:rPr>
        <w:t xml:space="preserve">No management person at BWP has ever been involved in an arbitration claim of any kind or been found liable in a civil, self-regulatory organization, or administrative proceeding.</w:t>
      </w:r>
    </w:p>
    <w:p>
      <w:pPr>
        <w:pStyle w:val="Heading2"/>
        <w:spacing w:after="120" w:before="280"/>
        <w:keepNext/>
        <w:keepLines/>
      </w:pPr>
      <w:r>
        <w:rPr>
          <w:rFonts w:ascii="Arial" w:cs="Arial" w:eastAsia="Arial" w:hAnsi="Arial"/>
          <w:b/>
          <w:bCs/>
          <w:color w:val="2E6B9E"/>
          <w:sz w:val="28"/>
          <w:szCs w:val="28"/>
        </w:rPr>
        <w:t xml:space="preserve">Material Relationships That Management Persons Have With Issuers of Securities</w:t>
      </w:r>
    </w:p>
    <w:p>
      <w:pPr>
        <w:spacing w:after="120" w:line="276" w:lineRule="auto"/>
      </w:pPr>
      <w:r>
        <w:rPr>
          <w:rFonts w:ascii="Arial" w:cs="Arial" w:eastAsia="Arial" w:hAnsi="Arial"/>
          <w:color w:val="1A1A1A"/>
          <w:sz w:val="24"/>
          <w:szCs w:val="24"/>
        </w:rPr>
        <w:t xml:space="preserve">BWP nor Jim Kilgore, CFP®, has any relationship or arrangement with issuers of securities.</w:t>
      </w:r>
    </w:p>
    <w:p>
      <w:pPr>
        <w:pBdr>
          <w:bottom w:color="CCCCCC" w:sz="6" w:space="1"/>
        </w:pBdr>
        <w:spacing w:after="160" w:before="160"/>
      </w:pPr>
    </w:p>
    <w:p>
      <w:pPr>
        <w:pStyle w:val="Heading2"/>
        <w:spacing w:after="120" w:before="280"/>
        <w:keepNext/>
        <w:keepLines/>
      </w:pPr>
      <w:r>
        <w:rPr>
          <w:rFonts w:ascii="Arial" w:cs="Arial" w:eastAsia="Arial" w:hAnsi="Arial"/>
          <w:b/>
          <w:bCs/>
          <w:color w:val="2E6B9E"/>
          <w:sz w:val="28"/>
          <w:szCs w:val="28"/>
        </w:rPr>
        <w:t xml:space="preserve">Custodian Disclosure</w:t>
      </w:r>
    </w:p>
    <w:p>
      <w:pPr>
        <w:pStyle w:val="Heading2"/>
        <w:spacing w:after="120" w:before="280"/>
        <w:keepNext/>
        <w:keepLines/>
      </w:pPr>
      <w:r>
        <w:rPr>
          <w:rFonts w:ascii="Arial" w:cs="Arial" w:eastAsia="Arial" w:hAnsi="Arial"/>
          <w:b/>
          <w:bCs/>
          <w:color w:val="2E6B9E"/>
          <w:sz w:val="28"/>
          <w:szCs w:val="28"/>
        </w:rPr>
        <w:t xml:space="preserve">Altruist Financial, LLC</w:t>
      </w:r>
    </w:p>
    <w:p>
      <w:pPr>
        <w:spacing w:after="120" w:line="276" w:lineRule="auto"/>
      </w:pPr>
      <w:r>
        <w:rPr>
          <w:rFonts w:ascii="Arial" w:cs="Arial" w:eastAsia="Arial" w:hAnsi="Arial"/>
          <w:color w:val="1A1A1A"/>
          <w:sz w:val="24"/>
          <w:szCs w:val="24"/>
        </w:rPr>
        <w:t xml:space="preserve">BWP offers investment advisory services through the custodial platform offered by Altruist Financial LLC, an unaffiliated SEC-registered broker-dealer and FINRA/SIPC member ("Altruist"). BWP’s Clients establish brokerage accounts through Altruist. BWP maintains an institutional relationship with Altruist whereby Altruist provides certain benefits to BWP, including a fully digital account opening process, a variety of available investments, and integration with software tools that can benefit BWP and its Clients.</w:t>
      </w:r>
    </w:p>
    <w:p>
      <w:pPr>
        <w:pStyle w:val="Heading2"/>
        <w:spacing w:after="120" w:before="280"/>
        <w:keepNext/>
        <w:keepLines/>
      </w:pPr>
      <w:r>
        <w:rPr>
          <w:rFonts w:ascii="Arial" w:cs="Arial" w:eastAsia="Arial" w:hAnsi="Arial"/>
          <w:b/>
          <w:bCs/>
          <w:color w:val="2E6B9E"/>
          <w:sz w:val="28"/>
          <w:szCs w:val="28"/>
        </w:rPr>
        <w:t xml:space="preserve">Goldman Sachs Custody Solutions</w:t>
      </w:r>
    </w:p>
    <w:p>
      <w:pPr>
        <w:spacing w:after="120" w:line="276" w:lineRule="auto"/>
      </w:pPr>
      <w:r>
        <w:rPr>
          <w:rFonts w:ascii="Arial" w:cs="Arial" w:eastAsia="Arial" w:hAnsi="Arial"/>
          <w:color w:val="1A1A1A"/>
          <w:sz w:val="24"/>
          <w:szCs w:val="24"/>
        </w:rPr>
        <w:t xml:space="preserve">BWP offers investment advisory services through the custodial platform offered by Goldman Sachs Custody Solutions (GS), an unaffiliated SEC-registered broker-dealer and FINRA/SIPC member ("Goldman Sachs"). BWP’s Clients establish brokerage accounts through GS. BWP maintains an institutional relationship with GS whereby GS provides certain benefits to BWP, including a fully digital account opening process, a variety of available investments, and integration with software tools that can benefit BWP and its Clients.</w:t>
      </w:r>
    </w:p>
    <w:p>
      <w:r>
        <w:br w:type="page"/>
      </w:r>
    </w:p>
    <w:p>
      <w:pPr>
        <w:keepNext/>
        <w:keepLines/>
        <w:spacing w:after="240" w:before="1440"/>
        <w:jc w:val="center"/>
      </w:pPr>
      <w:r>
        <w:rPr>
          <w:rFonts w:ascii="Arial" w:cs="Arial" w:eastAsia="Arial" w:hAnsi="Arial"/>
          <w:b/>
          <w:bCs/>
          <w:color w:val="1B3A5C"/>
          <w:sz w:val="36"/>
          <w:szCs w:val="36"/>
        </w:rPr>
        <w:t xml:space="preserve">BUCKEYE WEALTH PARTNERS LLC</w:t>
      </w:r>
    </w:p>
    <w:p>
      <w:pPr>
        <w:keepNext/>
        <w:keepLines/>
        <w:spacing w:after="200"/>
        <w:jc w:val="center"/>
      </w:pPr>
      <w:r>
        <w:rPr>
          <w:rFonts w:ascii="Arial" w:cs="Arial" w:eastAsia="Arial" w:hAnsi="Arial"/>
          <w:b/>
          <w:bCs/>
          <w:color w:val="1B3A5C"/>
          <w:sz w:val="32"/>
          <w:szCs w:val="32"/>
        </w:rPr>
        <w:t xml:space="preserve">Form ADV Part 2B — Brochure Supplement</w:t>
      </w:r>
    </w:p>
    <w:p>
      <w:pPr>
        <w:spacing w:after="160"/>
        <w:jc w:val="center"/>
      </w:pPr>
      <w:r>
        <w:rPr>
          <w:rFonts w:ascii="Arial" w:cs="Arial" w:eastAsia="Arial" w:hAnsi="Arial"/>
          <w:color w:val="666666"/>
          <w:sz w:val="24"/>
          <w:szCs w:val="24"/>
        </w:rPr>
        <w:t xml:space="preserve">Version: v.04.2026  |  Effective Date: April 13, 2026</w:t>
      </w:r>
    </w:p>
    <w:p>
      <w:pPr>
        <w:spacing w:after="120"/>
        <w:jc w:val="center"/>
      </w:pPr>
      <w:r>
        <w:rPr>
          <w:rFonts w:ascii="Arial" w:cs="Arial" w:eastAsia="Arial" w:hAnsi="Arial"/>
          <w:i/>
          <w:iCs/>
          <w:color w:val="666666"/>
          <w:sz w:val="22"/>
          <w:szCs w:val="22"/>
        </w:rPr>
        <w:t xml:space="preserve">Supersedes Form ADV Part 2B dated 1 June 2025</w:t>
      </w:r>
    </w:p>
    <w:p>
      <w:pPr>
        <w:pBdr>
          <w:bottom w:color="CCCCCC" w:sz="6" w:space="1"/>
        </w:pBdr>
        <w:spacing w:after="160" w:before="160"/>
      </w:pPr>
    </w:p>
    <w:p>
      <w:pPr>
        <w:spacing w:after="120" w:before="240"/>
        <w:jc w:val="center"/>
      </w:pPr>
      <w:r>
        <w:rPr>
          <w:rFonts w:ascii="Arial" w:cs="Arial" w:eastAsia="Arial" w:hAnsi="Arial"/>
          <w:color w:val="666666"/>
          <w:sz w:val="24"/>
          <w:szCs w:val="24"/>
        </w:rPr>
        <w:t xml:space="preserve">203 W Franklin St, Dayton, OH 45459  |  (937) 434-1790</w:t>
      </w:r>
    </w:p>
    <w:p>
      <w:pPr>
        <w:spacing w:after="240" w:before="360"/>
        <w:jc w:val="center"/>
      </w:pPr>
      <w:r>
        <w:rPr>
          <w:rFonts w:ascii="Arial" w:cs="Arial" w:eastAsia="Arial" w:hAnsi="Arial"/>
          <w:i/>
          <w:iCs/>
          <w:color w:val="666666"/>
          <w:sz w:val="20"/>
          <w:szCs w:val="20"/>
        </w:rPr>
        <w:t xml:space="preserve">This brochure supplement provides information about Jim Kilgore, CFP®, and William DeShurko that supplements the BUCKEYE WEALTH PARTNERS ("BWP") brochure. A copy of that brochure precedes this supplement. Please contact Jim Kilgore, CFP® if the BWP brochure is not included with this supplement or if you have any questions about the contents of this supplement.</w:t>
      </w:r>
    </w:p>
    <w:p>
      <w:pPr>
        <w:spacing w:after="240"/>
        <w:jc w:val="center"/>
      </w:pPr>
      <w:r>
        <w:rPr>
          <w:rFonts w:ascii="Arial" w:cs="Arial" w:eastAsia="Arial" w:hAnsi="Arial"/>
          <w:i/>
          <w:iCs/>
          <w:color w:val="666666"/>
          <w:sz w:val="20"/>
          <w:szCs w:val="20"/>
        </w:rPr>
        <w:t xml:space="preserve">Additional information about Jim Kilgore, CFP® and William DeShurko is available on the SEC's website at www.adviserinfo.sec.gov which can be found using the identification numbers CRD# 6695352 (Jim) or 1717919 (Bill).</w:t>
      </w:r>
    </w:p>
    <w:p>
      <w:r>
        <w:br w:type="page"/>
      </w:r>
    </w:p>
    <w:p>
      <w:pPr>
        <w:pStyle w:val="Heading1"/>
        <w:spacing w:after="160" w:before="360"/>
        <w:keepNext/>
        <w:keepLines/>
      </w:pPr>
      <w:r>
        <w:rPr>
          <w:rFonts w:ascii="Arial" w:cs="Arial" w:eastAsia="Arial" w:hAnsi="Arial"/>
          <w:b/>
          <w:bCs/>
          <w:color w:val="1B3A5C"/>
          <w:sz w:val="32"/>
          <w:szCs w:val="32"/>
        </w:rPr>
        <w:t xml:space="preserve">James (Jim) W. Kilgore, CFP®</w:t>
      </w:r>
    </w:p>
    <w:p>
      <w:pPr>
        <w:pStyle w:val="Heading2"/>
        <w:spacing w:after="120" w:before="280"/>
        <w:keepNext/>
        <w:keepLines/>
      </w:pPr>
      <w:r>
        <w:rPr>
          <w:rFonts w:ascii="Arial" w:cs="Arial" w:eastAsia="Arial" w:hAnsi="Arial"/>
          <w:b/>
          <w:bCs/>
          <w:color w:val="2E6B9E"/>
          <w:sz w:val="28"/>
          <w:szCs w:val="28"/>
        </w:rPr>
        <w:t xml:space="preserve">Item 2: Educational Background and Business Experience</w:t>
      </w:r>
    </w:p>
    <w:p>
      <w:pPr>
        <w:spacing w:after="80" w:line="276" w:lineRule="auto"/>
      </w:pPr>
      <w:r>
        <w:rPr>
          <w:rFonts w:ascii="Arial" w:cs="Arial" w:eastAsia="Arial" w:hAnsi="Arial"/>
          <w:b/>
          <w:bCs/>
          <w:color w:val="1A1A1A"/>
          <w:sz w:val="24"/>
          <w:szCs w:val="24"/>
        </w:rPr>
        <w:t xml:space="preserve">Born: </w:t>
      </w:r>
      <w:r>
        <w:rPr>
          <w:rFonts w:ascii="Arial" w:cs="Arial" w:eastAsia="Arial" w:hAnsi="Arial"/>
          <w:color w:val="1A1A1A"/>
          <w:sz w:val="24"/>
          <w:szCs w:val="24"/>
        </w:rPr>
        <w:t xml:space="preserve">6/26/1973</w:t>
      </w:r>
    </w:p>
    <w:p>
      <w:pPr>
        <w:pStyle w:val="Heading2"/>
        <w:spacing w:after="120" w:before="280"/>
        <w:keepNext/>
        <w:keepLines/>
      </w:pPr>
      <w:r>
        <w:rPr>
          <w:rFonts w:ascii="Arial" w:cs="Arial" w:eastAsia="Arial" w:hAnsi="Arial"/>
          <w:b/>
          <w:bCs/>
          <w:color w:val="2E6B9E"/>
          <w:sz w:val="28"/>
          <w:szCs w:val="28"/>
        </w:rPr>
        <w:t xml:space="preserve">Educational Background</w:t>
      </w:r>
    </w:p>
    <w:p>
      <w:pPr>
        <w:pStyle w:val="ListParagraph"/>
        <w:numPr>
          <w:ilvl w:val="0"/>
          <w:numId w:val="1"/>
        </w:numPr>
        <w:spacing w:after="80" w:line="276" w:lineRule="auto"/>
      </w:pPr>
      <w:r>
        <w:rPr>
          <w:rFonts w:ascii="Arial" w:cs="Arial" w:eastAsia="Arial" w:hAnsi="Arial"/>
          <w:color w:val="1A1A1A"/>
          <w:sz w:val="24"/>
          <w:szCs w:val="24"/>
        </w:rPr>
        <w:t xml:space="preserve">2019 - B.S. Personal Financial Planning, Indiana Wesleyan University</w:t>
      </w:r>
    </w:p>
    <w:p>
      <w:pPr>
        <w:pStyle w:val="ListParagraph"/>
        <w:numPr>
          <w:ilvl w:val="0"/>
          <w:numId w:val="1"/>
        </w:numPr>
        <w:spacing w:after="80" w:line="276" w:lineRule="auto"/>
      </w:pPr>
      <w:r>
        <w:rPr>
          <w:rFonts w:ascii="Arial" w:cs="Arial" w:eastAsia="Arial" w:hAnsi="Arial"/>
          <w:color w:val="1A1A1A"/>
          <w:sz w:val="24"/>
          <w:szCs w:val="24"/>
        </w:rPr>
        <w:t xml:space="preserve">2005 - A.S. Computer Information Systems, Hondros College</w:t>
      </w:r>
    </w:p>
    <w:p>
      <w:pPr>
        <w:pStyle w:val="ListParagraph"/>
        <w:numPr>
          <w:ilvl w:val="0"/>
          <w:numId w:val="1"/>
        </w:numPr>
        <w:spacing w:after="80" w:line="276" w:lineRule="auto"/>
      </w:pPr>
      <w:r>
        <w:rPr>
          <w:rFonts w:ascii="Arial" w:cs="Arial" w:eastAsia="Arial" w:hAnsi="Arial"/>
          <w:color w:val="1A1A1A"/>
          <w:sz w:val="24"/>
          <w:szCs w:val="24"/>
        </w:rPr>
        <w:t xml:space="preserve">2001 - A.S. Human Resources Management, Okaloosa Walton C.C.</w:t>
      </w:r>
    </w:p>
    <w:p>
      <w:pPr>
        <w:pStyle w:val="ListParagraph"/>
        <w:numPr>
          <w:ilvl w:val="0"/>
          <w:numId w:val="1"/>
        </w:numPr>
        <w:spacing w:after="80" w:line="276" w:lineRule="auto"/>
      </w:pPr>
      <w:r>
        <w:rPr>
          <w:rFonts w:ascii="Arial" w:cs="Arial" w:eastAsia="Arial" w:hAnsi="Arial"/>
          <w:color w:val="1A1A1A"/>
          <w:sz w:val="24"/>
          <w:szCs w:val="24"/>
        </w:rPr>
        <w:t xml:space="preserve">1998 - A.S. Information Systems Management, Okaloosa Walton C.C.</w:t>
      </w:r>
    </w:p>
    <w:p>
      <w:pPr>
        <w:pStyle w:val="Heading2"/>
        <w:spacing w:after="120" w:before="280"/>
        <w:keepNext/>
        <w:keepLines/>
      </w:pPr>
      <w:r>
        <w:rPr>
          <w:rFonts w:ascii="Arial" w:cs="Arial" w:eastAsia="Arial" w:hAnsi="Arial"/>
          <w:b/>
          <w:bCs/>
          <w:color w:val="2E6B9E"/>
          <w:sz w:val="28"/>
          <w:szCs w:val="28"/>
        </w:rPr>
        <w:t xml:space="preserve">Business Experience</w:t>
      </w:r>
    </w:p>
    <w:p>
      <w:pPr>
        <w:pStyle w:val="ListParagraph"/>
        <w:numPr>
          <w:ilvl w:val="0"/>
          <w:numId w:val="1"/>
        </w:numPr>
        <w:spacing w:after="80" w:line="276" w:lineRule="auto"/>
      </w:pPr>
      <w:r>
        <w:rPr>
          <w:rFonts w:ascii="Arial" w:cs="Arial" w:eastAsia="Arial" w:hAnsi="Arial"/>
          <w:color w:val="1A1A1A"/>
          <w:sz w:val="24"/>
          <w:szCs w:val="24"/>
        </w:rPr>
        <w:t xml:space="preserve">12/2024 – Present, Buckeye Wealth Partners, Managing Member and CCO</w:t>
      </w:r>
    </w:p>
    <w:p>
      <w:pPr>
        <w:pStyle w:val="ListParagraph"/>
        <w:numPr>
          <w:ilvl w:val="0"/>
          <w:numId w:val="1"/>
        </w:numPr>
        <w:spacing w:after="80" w:line="276" w:lineRule="auto"/>
      </w:pPr>
      <w:r>
        <w:rPr>
          <w:rFonts w:ascii="Arial" w:cs="Arial" w:eastAsia="Arial" w:hAnsi="Arial"/>
          <w:color w:val="1A1A1A"/>
          <w:sz w:val="24"/>
          <w:szCs w:val="24"/>
        </w:rPr>
        <w:t xml:space="preserve">07/2018 – 12/2024, 401 Advisor, Investment Advisor Representative</w:t>
      </w:r>
    </w:p>
    <w:p>
      <w:pPr>
        <w:pStyle w:val="ListParagraph"/>
        <w:numPr>
          <w:ilvl w:val="0"/>
          <w:numId w:val="1"/>
        </w:numPr>
        <w:spacing w:after="80" w:line="276" w:lineRule="auto"/>
      </w:pPr>
      <w:r>
        <w:rPr>
          <w:rFonts w:ascii="Arial" w:cs="Arial" w:eastAsia="Arial" w:hAnsi="Arial"/>
          <w:color w:val="1A1A1A"/>
          <w:sz w:val="24"/>
          <w:szCs w:val="24"/>
        </w:rPr>
        <w:t xml:space="preserve">01/2018 – Present, Warren County Veteran Services, Board Member</w:t>
      </w:r>
    </w:p>
    <w:p>
      <w:pPr>
        <w:pStyle w:val="ListParagraph"/>
        <w:numPr>
          <w:ilvl w:val="0"/>
          <w:numId w:val="1"/>
        </w:numPr>
        <w:spacing w:after="80" w:line="276" w:lineRule="auto"/>
      </w:pPr>
      <w:r>
        <w:rPr>
          <w:rFonts w:ascii="Arial" w:cs="Arial" w:eastAsia="Arial" w:hAnsi="Arial"/>
          <w:color w:val="1A1A1A"/>
          <w:sz w:val="24"/>
          <w:szCs w:val="24"/>
        </w:rPr>
        <w:t xml:space="preserve">08/2016 – 07/2018, Raymond James Financial Services/Midwestern Wealth Management, Investment Advisor Representative</w:t>
      </w:r>
    </w:p>
    <w:p>
      <w:pPr>
        <w:pStyle w:val="ListParagraph"/>
        <w:numPr>
          <w:ilvl w:val="0"/>
          <w:numId w:val="1"/>
        </w:numPr>
        <w:spacing w:after="80" w:line="276" w:lineRule="auto"/>
      </w:pPr>
      <w:r>
        <w:rPr>
          <w:rFonts w:ascii="Arial" w:cs="Arial" w:eastAsia="Arial" w:hAnsi="Arial"/>
          <w:color w:val="1A1A1A"/>
          <w:sz w:val="24"/>
          <w:szCs w:val="24"/>
        </w:rPr>
        <w:t xml:space="preserve">03/1995 – 08/2014, United States Air Force, Active Duty (Retired)</w:t>
      </w:r>
    </w:p>
    <w:p>
      <w:pPr>
        <w:pStyle w:val="Heading2"/>
        <w:spacing w:after="120" w:before="280"/>
        <w:keepNext/>
        <w:keepLines/>
      </w:pPr>
      <w:r>
        <w:rPr>
          <w:rFonts w:ascii="Arial" w:cs="Arial" w:eastAsia="Arial" w:hAnsi="Arial"/>
          <w:b/>
          <w:bCs/>
          <w:color w:val="2E6B9E"/>
          <w:sz w:val="28"/>
          <w:szCs w:val="28"/>
        </w:rPr>
        <w:t xml:space="preserve">Professional Designation(s)</w:t>
      </w:r>
    </w:p>
    <w:p>
      <w:pPr>
        <w:spacing w:after="80" w:line="276" w:lineRule="auto"/>
      </w:pPr>
      <w:r>
        <w:rPr>
          <w:rFonts w:ascii="Arial" w:cs="Arial" w:eastAsia="Arial" w:hAnsi="Arial"/>
          <w:b/>
          <w:bCs/>
          <w:color w:val="1A1A1A"/>
          <w:sz w:val="24"/>
          <w:szCs w:val="24"/>
        </w:rPr>
        <w:t xml:space="preserve">CFP® (Certified Financial Planner): </w:t>
      </w:r>
      <w:r>
        <w:rPr>
          <w:rFonts w:ascii="Arial" w:cs="Arial" w:eastAsia="Arial" w:hAnsi="Arial"/>
          <w:color w:val="1A1A1A"/>
          <w:sz w:val="24"/>
          <w:szCs w:val="24"/>
        </w:rPr>
        <w:t xml:space="preserve">Jim Kilgore is certified for financial planning services in the United States by Certified Financial Planner Board of Standards, Inc. ("CFP Board"). The CFP® certification is voluntary. No federal or state law or regulation requires financial planners to hold the CFP® certification.</w:t>
      </w:r>
    </w:p>
    <w:p>
      <w:pPr>
        <w:spacing w:after="120" w:line="276" w:lineRule="auto"/>
      </w:pPr>
      <w:r>
        <w:rPr>
          <w:rFonts w:ascii="Arial" w:cs="Arial" w:eastAsia="Arial" w:hAnsi="Arial"/>
          <w:color w:val="1A1A1A"/>
          <w:sz w:val="24"/>
          <w:szCs w:val="24"/>
        </w:rPr>
        <w:t xml:space="preserve">CFP® professionals have met CFP Board’s high standards for education, examination, experience, and ethics:</w:t>
      </w:r>
    </w:p>
    <w:p>
      <w:pPr>
        <w:pStyle w:val="ListParagraph"/>
        <w:numPr>
          <w:ilvl w:val="0"/>
          <w:numId w:val="1"/>
        </w:numPr>
        <w:spacing w:after="80" w:line="276" w:lineRule="auto"/>
      </w:pPr>
      <w:r>
        <w:rPr>
          <w:rFonts w:ascii="Arial" w:cs="Arial" w:eastAsia="Arial" w:hAnsi="Arial"/>
          <w:color w:val="1A1A1A"/>
          <w:sz w:val="24"/>
          <w:szCs w:val="24"/>
        </w:rPr>
        <w:t xml:space="preserve">Education – Earn a bachelor’s degree or higher from an accredited college or university and complete CFP Board-approved coursework at a CFP Board Registered Program.</w:t>
      </w:r>
    </w:p>
    <w:p>
      <w:pPr>
        <w:pStyle w:val="ListParagraph"/>
        <w:numPr>
          <w:ilvl w:val="0"/>
          <w:numId w:val="1"/>
        </w:numPr>
        <w:spacing w:after="80" w:line="276" w:lineRule="auto"/>
      </w:pPr>
      <w:r>
        <w:rPr>
          <w:rFonts w:ascii="Arial" w:cs="Arial" w:eastAsia="Arial" w:hAnsi="Arial"/>
          <w:color w:val="1A1A1A"/>
          <w:sz w:val="24"/>
          <w:szCs w:val="24"/>
        </w:rPr>
        <w:t xml:space="preserve">Examination – Pass the comprehensive CFP® Certification Examination.</w:t>
      </w:r>
    </w:p>
    <w:p>
      <w:pPr>
        <w:pStyle w:val="ListParagraph"/>
        <w:numPr>
          <w:ilvl w:val="0"/>
          <w:numId w:val="1"/>
        </w:numPr>
        <w:spacing w:after="80" w:line="276" w:lineRule="auto"/>
      </w:pPr>
      <w:r>
        <w:rPr>
          <w:rFonts w:ascii="Arial" w:cs="Arial" w:eastAsia="Arial" w:hAnsi="Arial"/>
          <w:color w:val="1A1A1A"/>
          <w:sz w:val="24"/>
          <w:szCs w:val="24"/>
        </w:rPr>
        <w:t xml:space="preserve">Experience – Complete 6,000 hours of professional experience related to the personal financial planning process, or 4,000 hours of apprenticeship experience.</w:t>
      </w:r>
    </w:p>
    <w:p>
      <w:pPr>
        <w:pStyle w:val="ListParagraph"/>
        <w:numPr>
          <w:ilvl w:val="0"/>
          <w:numId w:val="1"/>
        </w:numPr>
        <w:spacing w:after="80" w:line="276" w:lineRule="auto"/>
      </w:pPr>
      <w:r>
        <w:rPr>
          <w:rFonts w:ascii="Arial" w:cs="Arial" w:eastAsia="Arial" w:hAnsi="Arial"/>
          <w:color w:val="1A1A1A"/>
          <w:sz w:val="24"/>
          <w:szCs w:val="24"/>
        </w:rPr>
        <w:t xml:space="preserve">Ethics – Satisfy the Fitness Standards for Candidates for CFP® Certification and agree to be bound by CFP Board’s Code of Ethics and Standards of Conduct.</w:t>
      </w:r>
    </w:p>
    <w:p>
      <w:pPr>
        <w:spacing w:after="120" w:line="276" w:lineRule="auto"/>
      </w:pPr>
      <w:r>
        <w:rPr>
          <w:rFonts w:ascii="Arial" w:cs="Arial" w:eastAsia="Arial" w:hAnsi="Arial"/>
          <w:color w:val="1A1A1A"/>
          <w:sz w:val="24"/>
          <w:szCs w:val="24"/>
        </w:rPr>
        <w:t xml:space="preserve">Individuals who become certified must complete 30 hours of continuing education every two years, including two hours addressing the Code and Standards.</w:t>
      </w:r>
    </w:p>
    <w:p>
      <w:pPr>
        <w:pStyle w:val="Heading2"/>
        <w:spacing w:after="120" w:before="280"/>
        <w:keepNext/>
        <w:keepLines/>
      </w:pPr>
      <w:r>
        <w:rPr>
          <w:rFonts w:ascii="Arial" w:cs="Arial" w:eastAsia="Arial" w:hAnsi="Arial"/>
          <w:b/>
          <w:bCs/>
          <w:color w:val="2E6B9E"/>
          <w:sz w:val="28"/>
          <w:szCs w:val="28"/>
        </w:rPr>
        <w:t xml:space="preserve">Item 3: Disciplinary Information</w:t>
      </w:r>
    </w:p>
    <w:p>
      <w:pPr>
        <w:spacing w:after="120" w:line="276" w:lineRule="auto"/>
      </w:pPr>
      <w:r>
        <w:rPr>
          <w:rFonts w:ascii="Arial" w:cs="Arial" w:eastAsia="Arial" w:hAnsi="Arial"/>
          <w:color w:val="1A1A1A"/>
          <w:sz w:val="24"/>
          <w:szCs w:val="24"/>
        </w:rPr>
        <w:t xml:space="preserve">Jim Kilgore has never been involved in an arbitration claim of any kind or been found liable in a civil, self-regulatory organization, or administrative proceeding.</w:t>
      </w:r>
    </w:p>
    <w:p>
      <w:pPr>
        <w:pStyle w:val="Heading2"/>
        <w:spacing w:after="120" w:before="280"/>
        <w:keepNext/>
        <w:keepLines/>
      </w:pPr>
      <w:r>
        <w:rPr>
          <w:rFonts w:ascii="Arial" w:cs="Arial" w:eastAsia="Arial" w:hAnsi="Arial"/>
          <w:b/>
          <w:bCs/>
          <w:color w:val="2E6B9E"/>
          <w:sz w:val="28"/>
          <w:szCs w:val="28"/>
        </w:rPr>
        <w:t xml:space="preserve">Item 4: Other Business Activities</w:t>
      </w:r>
    </w:p>
    <w:p>
      <w:pPr>
        <w:spacing w:after="120" w:line="276" w:lineRule="auto"/>
      </w:pPr>
      <w:r>
        <w:rPr>
          <w:rFonts w:ascii="Arial" w:cs="Arial" w:eastAsia="Arial" w:hAnsi="Arial"/>
          <w:color w:val="1A1A1A"/>
          <w:sz w:val="24"/>
          <w:szCs w:val="24"/>
        </w:rPr>
        <w:t xml:space="preserve">Jim Kilgore is currently employed as a Board Member in the Warren County Veteran Services. This activity accounts for approximately 5% of their time. Jim receives a salary from the Warren County Veteran Services for his position on the board.</w:t>
      </w:r>
    </w:p>
    <w:p>
      <w:pPr>
        <w:spacing w:after="120" w:line="276" w:lineRule="auto"/>
      </w:pPr>
      <w:r>
        <w:rPr>
          <w:rFonts w:ascii="Arial" w:cs="Arial" w:eastAsia="Arial" w:hAnsi="Arial"/>
          <w:color w:val="1A1A1A"/>
          <w:sz w:val="24"/>
          <w:szCs w:val="24"/>
        </w:rPr>
        <w:t xml:space="preserve">Jim Kilgore is currently a licensed insurance agent, however, he no longer sells any insurance products, and is not affiliated with any insurance companies. Jim Kilgore will not sell any insurance products to clients or prospective clients of BWP.</w:t>
      </w:r>
    </w:p>
    <w:p>
      <w:pPr>
        <w:pStyle w:val="Heading2"/>
        <w:spacing w:after="120" w:before="280"/>
        <w:keepNext/>
        <w:keepLines/>
      </w:pPr>
      <w:r>
        <w:rPr>
          <w:rFonts w:ascii="Arial" w:cs="Arial" w:eastAsia="Arial" w:hAnsi="Arial"/>
          <w:b/>
          <w:bCs/>
          <w:color w:val="2E6B9E"/>
          <w:sz w:val="28"/>
          <w:szCs w:val="28"/>
        </w:rPr>
        <w:t xml:space="preserve">Item 5: Additional Compensation</w:t>
      </w:r>
    </w:p>
    <w:p>
      <w:pPr>
        <w:spacing w:after="120" w:line="276" w:lineRule="auto"/>
      </w:pPr>
      <w:r>
        <w:rPr>
          <w:rFonts w:ascii="Arial" w:cs="Arial" w:eastAsia="Arial" w:hAnsi="Arial"/>
          <w:color w:val="1A1A1A"/>
          <w:sz w:val="24"/>
          <w:szCs w:val="24"/>
        </w:rPr>
        <w:t xml:space="preserve">Jim Kilgore does not receive any economic benefit from any person, company, or organization, in exchange for providing Clients advisory services through BWP.</w:t>
      </w:r>
    </w:p>
    <w:p>
      <w:pPr>
        <w:pStyle w:val="Heading2"/>
        <w:spacing w:after="120" w:before="280"/>
        <w:keepNext/>
        <w:keepLines/>
      </w:pPr>
      <w:r>
        <w:rPr>
          <w:rFonts w:ascii="Arial" w:cs="Arial" w:eastAsia="Arial" w:hAnsi="Arial"/>
          <w:b/>
          <w:bCs/>
          <w:color w:val="2E6B9E"/>
          <w:sz w:val="28"/>
          <w:szCs w:val="28"/>
        </w:rPr>
        <w:t xml:space="preserve">Item 6: Supervision</w:t>
      </w:r>
    </w:p>
    <w:p>
      <w:pPr>
        <w:spacing w:after="120" w:line="276" w:lineRule="auto"/>
      </w:pPr>
      <w:r>
        <w:rPr>
          <w:rFonts w:ascii="Arial" w:cs="Arial" w:eastAsia="Arial" w:hAnsi="Arial"/>
          <w:color w:val="1A1A1A"/>
          <w:sz w:val="24"/>
          <w:szCs w:val="24"/>
        </w:rPr>
        <w:t xml:space="preserve">Jim Kilgore as Chief Compliance Officer of BWP, supervises the advisory activities of our firm. Jim Kilgore is bound by and will adhere to the firm’s policies and procedures and Code of Ethics. Clients may contact Jim Kilgore at (937) 434-1790.</w:t>
      </w:r>
    </w:p>
    <w:p>
      <w:pPr>
        <w:spacing w:after="120" w:line="276" w:lineRule="auto"/>
      </w:pPr>
      <w:r>
        <w:rPr>
          <w:rFonts w:ascii="Arial" w:cs="Arial" w:eastAsia="Arial" w:hAnsi="Arial"/>
          <w:color w:val="1A1A1A"/>
          <w:sz w:val="24"/>
          <w:szCs w:val="24"/>
        </w:rPr>
        <w:t xml:space="preserve">Jim Kilgore as Chief Compliance Officer of BWP, supervises the advisory activities of William DeShurko. Clients may contact Jim Kilgore at the phone number on this brochure supplement.</w:t>
      </w:r>
    </w:p>
    <w:p>
      <w:pPr>
        <w:pStyle w:val="Heading2"/>
        <w:spacing w:after="120" w:before="280"/>
        <w:keepNext/>
        <w:keepLines/>
      </w:pPr>
      <w:r>
        <w:rPr>
          <w:rFonts w:ascii="Arial" w:cs="Arial" w:eastAsia="Arial" w:hAnsi="Arial"/>
          <w:b/>
          <w:bCs/>
          <w:color w:val="2E6B9E"/>
          <w:sz w:val="28"/>
          <w:szCs w:val="28"/>
        </w:rPr>
        <w:t xml:space="preserve">Item 7: Requirements for State Registered Advisers</w:t>
      </w:r>
    </w:p>
    <w:p>
      <w:pPr>
        <w:spacing w:after="120" w:line="276" w:lineRule="auto"/>
      </w:pPr>
      <w:r>
        <w:rPr>
          <w:rFonts w:ascii="Arial" w:cs="Arial" w:eastAsia="Arial" w:hAnsi="Arial"/>
          <w:color w:val="1A1A1A"/>
          <w:sz w:val="24"/>
          <w:szCs w:val="24"/>
        </w:rPr>
        <w:t xml:space="preserve">Jim Kilgore has NOT been involved in an arbitration, civil proceeding, self-regulatory proceeding, administrative proceeding, or a bankruptcy petition.</w:t>
      </w:r>
    </w:p>
    <w:p>
      <w:r>
        <w:br w:type="page"/>
      </w:r>
    </w:p>
    <w:p>
      <w:pPr>
        <w:pStyle w:val="Heading1"/>
        <w:spacing w:after="160" w:before="360"/>
        <w:keepNext/>
        <w:keepLines/>
      </w:pPr>
      <w:r>
        <w:rPr>
          <w:rFonts w:ascii="Arial" w:cs="Arial" w:eastAsia="Arial" w:hAnsi="Arial"/>
          <w:b/>
          <w:bCs/>
          <w:color w:val="1B3A5C"/>
          <w:sz w:val="32"/>
          <w:szCs w:val="32"/>
        </w:rPr>
        <w:t xml:space="preserve">William DeShurko</w:t>
      </w:r>
    </w:p>
    <w:p>
      <w:pPr>
        <w:pStyle w:val="Heading2"/>
        <w:spacing w:after="120" w:before="280"/>
        <w:keepNext/>
        <w:keepLines/>
      </w:pPr>
      <w:r>
        <w:rPr>
          <w:rFonts w:ascii="Arial" w:cs="Arial" w:eastAsia="Arial" w:hAnsi="Arial"/>
          <w:b/>
          <w:bCs/>
          <w:color w:val="2E6B9E"/>
          <w:sz w:val="28"/>
          <w:szCs w:val="28"/>
        </w:rPr>
        <w:t xml:space="preserve">Item 2: Educational Background and Business Experience</w:t>
      </w:r>
    </w:p>
    <w:p>
      <w:pPr>
        <w:spacing w:after="80" w:line="276" w:lineRule="auto"/>
      </w:pPr>
      <w:r>
        <w:rPr>
          <w:rFonts w:ascii="Arial" w:cs="Arial" w:eastAsia="Arial" w:hAnsi="Arial"/>
          <w:b/>
          <w:bCs/>
          <w:color w:val="1A1A1A"/>
          <w:sz w:val="24"/>
          <w:szCs w:val="24"/>
        </w:rPr>
        <w:t xml:space="preserve">Born: </w:t>
      </w:r>
      <w:r>
        <w:rPr>
          <w:rFonts w:ascii="Arial" w:cs="Arial" w:eastAsia="Arial" w:hAnsi="Arial"/>
          <w:color w:val="1A1A1A"/>
          <w:sz w:val="24"/>
          <w:szCs w:val="24"/>
        </w:rPr>
        <w:t xml:space="preserve">12/06/1957</w:t>
      </w:r>
    </w:p>
    <w:p>
      <w:pPr>
        <w:pStyle w:val="Heading2"/>
        <w:spacing w:after="120" w:before="280"/>
        <w:keepNext/>
        <w:keepLines/>
      </w:pPr>
      <w:r>
        <w:rPr>
          <w:rFonts w:ascii="Arial" w:cs="Arial" w:eastAsia="Arial" w:hAnsi="Arial"/>
          <w:b/>
          <w:bCs/>
          <w:color w:val="2E6B9E"/>
          <w:sz w:val="28"/>
          <w:szCs w:val="28"/>
        </w:rPr>
        <w:t xml:space="preserve">Educational Background</w:t>
      </w:r>
    </w:p>
    <w:p>
      <w:pPr>
        <w:pStyle w:val="ListParagraph"/>
        <w:numPr>
          <w:ilvl w:val="0"/>
          <w:numId w:val="1"/>
        </w:numPr>
        <w:spacing w:after="80" w:line="276" w:lineRule="auto"/>
      </w:pPr>
      <w:r>
        <w:rPr>
          <w:rFonts w:ascii="Arial" w:cs="Arial" w:eastAsia="Arial" w:hAnsi="Arial"/>
          <w:color w:val="1A1A1A"/>
          <w:sz w:val="24"/>
          <w:szCs w:val="24"/>
        </w:rPr>
        <w:t xml:space="preserve">1981 - B.A. Economics, University of Rochester, Rochester, NY</w:t>
      </w:r>
    </w:p>
    <w:p>
      <w:pPr>
        <w:pStyle w:val="Heading2"/>
        <w:spacing w:after="120" w:before="280"/>
        <w:keepNext/>
        <w:keepLines/>
      </w:pPr>
      <w:r>
        <w:rPr>
          <w:rFonts w:ascii="Arial" w:cs="Arial" w:eastAsia="Arial" w:hAnsi="Arial"/>
          <w:b/>
          <w:bCs/>
          <w:color w:val="2E6B9E"/>
          <w:sz w:val="28"/>
          <w:szCs w:val="28"/>
        </w:rPr>
        <w:t xml:space="preserve">Business Experience</w:t>
      </w:r>
    </w:p>
    <w:p>
      <w:pPr>
        <w:pStyle w:val="ListParagraph"/>
        <w:numPr>
          <w:ilvl w:val="0"/>
          <w:numId w:val="1"/>
        </w:numPr>
        <w:spacing w:after="80" w:line="276" w:lineRule="auto"/>
      </w:pPr>
      <w:r>
        <w:rPr>
          <w:rFonts w:ascii="Arial" w:cs="Arial" w:eastAsia="Arial" w:hAnsi="Arial"/>
          <w:color w:val="1A1A1A"/>
          <w:sz w:val="24"/>
          <w:szCs w:val="24"/>
        </w:rPr>
        <w:t xml:space="preserve">12/2024 – Present, 401 Advisor/Buckeye Wealth Partners, Investment Advisor Representative</w:t>
      </w:r>
    </w:p>
    <w:p>
      <w:pPr>
        <w:pStyle w:val="ListParagraph"/>
        <w:numPr>
          <w:ilvl w:val="0"/>
          <w:numId w:val="1"/>
        </w:numPr>
        <w:spacing w:after="80" w:line="276" w:lineRule="auto"/>
      </w:pPr>
      <w:r>
        <w:rPr>
          <w:rFonts w:ascii="Arial" w:cs="Arial" w:eastAsia="Arial" w:hAnsi="Arial"/>
          <w:color w:val="1A1A1A"/>
          <w:sz w:val="24"/>
          <w:szCs w:val="24"/>
        </w:rPr>
        <w:t xml:space="preserve">01/2004 – 12/2024, 401 Advisor, Managing Member/President</w:t>
      </w:r>
    </w:p>
    <w:p>
      <w:pPr>
        <w:pStyle w:val="ListParagraph"/>
        <w:numPr>
          <w:ilvl w:val="0"/>
          <w:numId w:val="1"/>
        </w:numPr>
        <w:spacing w:after="80" w:line="276" w:lineRule="auto"/>
      </w:pPr>
      <w:r>
        <w:rPr>
          <w:rFonts w:ascii="Arial" w:cs="Arial" w:eastAsia="Arial" w:hAnsi="Arial"/>
          <w:color w:val="1A1A1A"/>
          <w:sz w:val="24"/>
          <w:szCs w:val="24"/>
        </w:rPr>
        <w:t xml:space="preserve">01/1993 – 12/2022, DeShurko Investment Services, Inc., Independent Registered Representative of Ceros Financial Services, Inc., and independent insurance representative for life and annuities</w:t>
      </w:r>
    </w:p>
    <w:p>
      <w:pPr>
        <w:pStyle w:val="ListParagraph"/>
        <w:numPr>
          <w:ilvl w:val="0"/>
          <w:numId w:val="1"/>
        </w:numPr>
        <w:spacing w:after="80" w:line="276" w:lineRule="auto"/>
      </w:pPr>
      <w:r>
        <w:rPr>
          <w:rFonts w:ascii="Arial" w:cs="Arial" w:eastAsia="Arial" w:hAnsi="Arial"/>
          <w:color w:val="1A1A1A"/>
          <w:sz w:val="24"/>
          <w:szCs w:val="24"/>
        </w:rPr>
        <w:t xml:space="preserve">01/2004 – Present, Owner, DeShurko Properties, Inc.</w:t>
      </w:r>
    </w:p>
    <w:p>
      <w:pPr>
        <w:pStyle w:val="ListParagraph"/>
        <w:numPr>
          <w:ilvl w:val="0"/>
          <w:numId w:val="1"/>
        </w:numPr>
        <w:spacing w:after="80" w:line="276" w:lineRule="auto"/>
      </w:pPr>
      <w:r>
        <w:rPr>
          <w:rFonts w:ascii="Arial" w:cs="Arial" w:eastAsia="Arial" w:hAnsi="Arial"/>
          <w:color w:val="1A1A1A"/>
          <w:sz w:val="24"/>
          <w:szCs w:val="24"/>
        </w:rPr>
        <w:t xml:space="preserve">01/2015 – 12/2022, Partner, Fund Trader Pro, LLC</w:t>
      </w:r>
    </w:p>
    <w:p>
      <w:pPr>
        <w:pStyle w:val="ListParagraph"/>
        <w:numPr>
          <w:ilvl w:val="0"/>
          <w:numId w:val="1"/>
        </w:numPr>
        <w:spacing w:after="80" w:line="276" w:lineRule="auto"/>
      </w:pPr>
      <w:r>
        <w:rPr>
          <w:rFonts w:ascii="Arial" w:cs="Arial" w:eastAsia="Arial" w:hAnsi="Arial"/>
          <w:color w:val="1A1A1A"/>
          <w:sz w:val="24"/>
          <w:szCs w:val="24"/>
        </w:rPr>
        <w:t xml:space="preserve">2007, Penguin Publishing Group. Authored The Naked Truth About Your Money</w:t>
      </w:r>
    </w:p>
    <w:p>
      <w:pPr>
        <w:pStyle w:val="ListParagraph"/>
        <w:numPr>
          <w:ilvl w:val="0"/>
          <w:numId w:val="1"/>
        </w:numPr>
        <w:spacing w:after="80" w:line="276" w:lineRule="auto"/>
      </w:pPr>
      <w:r>
        <w:rPr>
          <w:rFonts w:ascii="Arial" w:cs="Arial" w:eastAsia="Arial" w:hAnsi="Arial"/>
          <w:color w:val="1A1A1A"/>
          <w:sz w:val="24"/>
          <w:szCs w:val="24"/>
        </w:rPr>
        <w:t xml:space="preserve">1/2007 – 12/2018, Independent Contractor, contributor to www.horsesmouth.com, an educational website for financial services professionals</w:t>
      </w:r>
    </w:p>
    <w:p>
      <w:pPr>
        <w:pStyle w:val="Heading2"/>
        <w:spacing w:after="120" w:before="280"/>
        <w:keepNext/>
        <w:keepLines/>
      </w:pPr>
      <w:r>
        <w:rPr>
          <w:rFonts w:ascii="Arial" w:cs="Arial" w:eastAsia="Arial" w:hAnsi="Arial"/>
          <w:b/>
          <w:bCs/>
          <w:color w:val="2E6B9E"/>
          <w:sz w:val="28"/>
          <w:szCs w:val="28"/>
        </w:rPr>
        <w:t xml:space="preserve">Item 3: Disciplinary Information</w:t>
      </w:r>
    </w:p>
    <w:p>
      <w:pPr>
        <w:spacing w:after="120" w:line="276" w:lineRule="auto"/>
      </w:pPr>
      <w:r>
        <w:rPr>
          <w:rFonts w:ascii="Arial" w:cs="Arial" w:eastAsia="Arial" w:hAnsi="Arial"/>
          <w:color w:val="1A1A1A"/>
          <w:sz w:val="24"/>
          <w:szCs w:val="24"/>
        </w:rPr>
        <w:t xml:space="preserve">William DeShurko has never been involved in an arbitration claim of any kind or been found liable in a civil, self-regulatory organization, or administrative proceeding.</w:t>
      </w:r>
    </w:p>
    <w:p>
      <w:pPr>
        <w:pStyle w:val="Heading2"/>
        <w:spacing w:after="120" w:before="280"/>
        <w:keepNext/>
        <w:keepLines/>
      </w:pPr>
      <w:r>
        <w:rPr>
          <w:rFonts w:ascii="Arial" w:cs="Arial" w:eastAsia="Arial" w:hAnsi="Arial"/>
          <w:b/>
          <w:bCs/>
          <w:color w:val="2E6B9E"/>
          <w:sz w:val="28"/>
          <w:szCs w:val="28"/>
        </w:rPr>
        <w:t xml:space="preserve">Item 4: Other Business Activities</w:t>
      </w:r>
    </w:p>
    <w:p>
      <w:pPr>
        <w:spacing w:after="120" w:line="276" w:lineRule="auto"/>
      </w:pPr>
      <w:r>
        <w:rPr>
          <w:rFonts w:ascii="Arial" w:cs="Arial" w:eastAsia="Arial" w:hAnsi="Arial"/>
          <w:color w:val="1A1A1A"/>
          <w:sz w:val="24"/>
          <w:szCs w:val="24"/>
        </w:rPr>
        <w:t xml:space="preserve">None</w:t>
      </w:r>
    </w:p>
    <w:p>
      <w:pPr>
        <w:pStyle w:val="Heading2"/>
        <w:spacing w:after="120" w:before="280"/>
        <w:keepNext/>
        <w:keepLines/>
      </w:pPr>
      <w:r>
        <w:rPr>
          <w:rFonts w:ascii="Arial" w:cs="Arial" w:eastAsia="Arial" w:hAnsi="Arial"/>
          <w:b/>
          <w:bCs/>
          <w:color w:val="2E6B9E"/>
          <w:sz w:val="28"/>
          <w:szCs w:val="28"/>
        </w:rPr>
        <w:t xml:space="preserve">Item 5: Additional Compensation</w:t>
      </w:r>
    </w:p>
    <w:p>
      <w:pPr>
        <w:spacing w:after="120" w:line="276" w:lineRule="auto"/>
      </w:pPr>
      <w:r>
        <w:rPr>
          <w:rFonts w:ascii="Arial" w:cs="Arial" w:eastAsia="Arial" w:hAnsi="Arial"/>
          <w:color w:val="1A1A1A"/>
          <w:sz w:val="24"/>
          <w:szCs w:val="24"/>
        </w:rPr>
        <w:t xml:space="preserve">William DeShurko does not receive any economic benefit from any person, company, or organization, in exchange for providing Clients advisory services through BWP.</w:t>
      </w:r>
    </w:p>
    <w:p>
      <w:pPr>
        <w:pStyle w:val="Heading2"/>
        <w:spacing w:after="120" w:before="280"/>
        <w:keepNext/>
        <w:keepLines/>
      </w:pPr>
      <w:r>
        <w:rPr>
          <w:rFonts w:ascii="Arial" w:cs="Arial" w:eastAsia="Arial" w:hAnsi="Arial"/>
          <w:b/>
          <w:bCs/>
          <w:color w:val="2E6B9E"/>
          <w:sz w:val="28"/>
          <w:szCs w:val="28"/>
        </w:rPr>
        <w:t xml:space="preserve">Item 6: Supervision</w:t>
      </w:r>
    </w:p>
    <w:p>
      <w:pPr>
        <w:spacing w:after="120" w:line="276" w:lineRule="auto"/>
      </w:pPr>
      <w:r>
        <w:rPr>
          <w:rFonts w:ascii="Arial" w:cs="Arial" w:eastAsia="Arial" w:hAnsi="Arial"/>
          <w:color w:val="1A1A1A"/>
          <w:sz w:val="24"/>
          <w:szCs w:val="24"/>
        </w:rPr>
        <w:t xml:space="preserve">Jim Kilgore as Chief Compliance Officer of BWP, supervises the advisory activities of our firm. William DeShurko is bound by and will adhere to the firm’s policies and procedures and Code of Ethics. Clients may contact Jim Kilgore at (937) 434-1790.</w:t>
      </w:r>
    </w:p>
    <w:p>
      <w:pPr>
        <w:spacing w:after="120" w:line="276" w:lineRule="auto"/>
      </w:pPr>
      <w:r>
        <w:rPr>
          <w:rFonts w:ascii="Arial" w:cs="Arial" w:eastAsia="Arial" w:hAnsi="Arial"/>
          <w:color w:val="1A1A1A"/>
          <w:sz w:val="24"/>
          <w:szCs w:val="24"/>
        </w:rPr>
        <w:t xml:space="preserve">Jim Kilgore as Chief Compliance Officer of BWP, supervises the advisory activities of William DeShurko. Clients may contact Jim Kilgore at the phone number on this brochure supplement.</w:t>
      </w:r>
    </w:p>
    <w:p>
      <w:pPr>
        <w:pStyle w:val="Heading2"/>
        <w:spacing w:after="120" w:before="280"/>
        <w:keepNext/>
        <w:keepLines/>
      </w:pPr>
      <w:r>
        <w:rPr>
          <w:rFonts w:ascii="Arial" w:cs="Arial" w:eastAsia="Arial" w:hAnsi="Arial"/>
          <w:b/>
          <w:bCs/>
          <w:color w:val="2E6B9E"/>
          <w:sz w:val="28"/>
          <w:szCs w:val="28"/>
        </w:rPr>
        <w:t xml:space="preserve">Item 7: Requirements for State Registered Advisers</w:t>
      </w:r>
    </w:p>
    <w:p>
      <w:pPr>
        <w:spacing w:after="120" w:line="276" w:lineRule="auto"/>
      </w:pPr>
      <w:r>
        <w:rPr>
          <w:rFonts w:ascii="Arial" w:cs="Arial" w:eastAsia="Arial" w:hAnsi="Arial"/>
          <w:color w:val="1A1A1A"/>
          <w:sz w:val="24"/>
          <w:szCs w:val="24"/>
        </w:rPr>
        <w:t xml:space="preserve">William DeShurko has NOT been involved in an arbitration, civil proceeding, self-regulatory proceeding, administrative proceeding, or a bankruptcy petition.</w:t>
      </w:r>
    </w:p>
    <w:p>
      <w:pPr>
        <w:pBdr>
          <w:bottom w:color="CCCCCC" w:sz="6" w:space="1"/>
        </w:pBdr>
        <w:spacing w:after="160" w:before="160"/>
      </w:pPr>
    </w:p>
    <w:p>
      <w:pPr>
        <w:spacing w:after="120" w:before="240"/>
        <w:jc w:val="center"/>
      </w:pPr>
      <w:r>
        <w:rPr>
          <w:rFonts w:ascii="Arial" w:cs="Arial" w:eastAsia="Arial" w:hAnsi="Arial"/>
          <w:i/>
          <w:iCs/>
          <w:color w:val="666666"/>
          <w:sz w:val="18"/>
          <w:szCs w:val="18"/>
        </w:rPr>
        <w:t xml:space="preserve">Buckeye Wealth Partners LLC  |  CRD# 126428  |  Ohio Division of Securities  |  Version v.04.2026  |  Effective April 13,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6"/>
        <w:szCs w:val="16"/>
      </w:rPr>
      <w:t xml:space="preserve">BWP Form ADV Part 2A &amp; 2B v.04.2026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Confidential — Buckeye Wealth Partners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pPr>
      <w:keepNext/>
      <w:keepLines/>
    </w:pPr>
    <w:basedOn w:val="Normal"/>
    <w:next w:val="Normal"/>
    <w:qFormat/>
    <w:rPr>
      <w:color w:val="2E74B5"/>
      <w:sz w:val="32"/>
      <w:szCs w:val="32"/>
    </w:rPr>
  </w:style>
  <w:style w:type="paragraph" w:styleId="Heading2">
    <w:name w:val="Heading 2"/>
    <w:pPr>
      <w:keepNext/>
      <w:keepLines/>
    </w:pPr>
    <w:basedOn w:val="Normal"/>
    <w:next w:val="Normal"/>
    <w:qFormat/>
    <w:rPr>
      <w:color w:val="2E74B5"/>
      <w:sz w:val="26"/>
      <w:szCs w:val="26"/>
    </w:rPr>
  </w:style>
  <w:style w:type="paragraph" w:styleId="Heading3">
    <w:name w:val="Heading 3"/>
    <w:pPr>
      <w:keepNext/>
      <w:keepLines/>
    </w:pPr>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2026-04-13T14:02:07.110Z</dcterms:created>
  <dcterms:modified xsi:type="dcterms:W3CDTF">2026-04-13T14:02:07.110Z</dcterms:modified>
</cp:coreProperties>
</file>

<file path=docProps/custom.xml><?xml version="1.0" encoding="utf-8"?>
<Properties xmlns="http://schemas.openxmlformats.org/officeDocument/2006/custom-properties" xmlns:vt="http://schemas.openxmlformats.org/officeDocument/2006/docPropsVTypes"/>
</file>