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sz w:val="24"/>
          <w:szCs w:val="24"/>
        </w:rPr>
        <w:t xml:space="preserve"/>
      </w:r>
    </w:p>
    <w:p>
      <w:pPr>
        <w:spacing w:after="0" w:before="0" w:line="240"/>
      </w:pPr>
      <w:r>
        <w:rPr>
          <w:sz w:val="24"/>
          <w:szCs w:val="24"/>
        </w:rPr>
        <w:t xml:space="preserve"/>
      </w:r>
    </w:p>
    <w:p>
      <w:pPr>
        <w:keepNext/>
        <w:keepLines/>
        <w:spacing w:after="200" w:before="480"/>
        <w:jc w:val="center"/>
      </w:pPr>
      <w:r>
        <w:rPr>
          <w:rFonts w:ascii="Arial" w:cs="Arial" w:eastAsia="Arial" w:hAnsi="Arial"/>
          <w:b/>
          <w:bCs/>
          <w:color w:val="1B3A5C"/>
          <w:sz w:val="36"/>
          <w:szCs w:val="36"/>
        </w:rPr>
        <w:t xml:space="preserve">BUCKEYE WEALTH PARTNERS LLC</w:t>
      </w:r>
    </w:p>
    <w:p>
      <w:pPr>
        <w:keepNext/>
        <w:keepLines/>
        <w:spacing w:after="80" w:before="80"/>
        <w:jc w:val="center"/>
      </w:pPr>
      <w:r>
        <w:rPr>
          <w:rFonts w:ascii="Arial" w:cs="Arial" w:eastAsia="Arial" w:hAnsi="Arial"/>
          <w:b/>
          <w:bCs/>
          <w:color w:val="1A1A1A"/>
          <w:sz w:val="32"/>
          <w:szCs w:val="32"/>
        </w:rPr>
        <w:t xml:space="preserve">Cybersecurity &amp; Data Protection</w:t>
      </w:r>
    </w:p>
    <w:p>
      <w:pPr>
        <w:keepNext/>
        <w:keepLines/>
        <w:spacing w:after="160" w:before="40"/>
        <w:jc w:val="center"/>
      </w:pPr>
      <w:r>
        <w:rPr>
          <w:rFonts w:ascii="Arial" w:cs="Arial" w:eastAsia="Arial" w:hAnsi="Arial"/>
          <w:b/>
          <w:bCs/>
          <w:color w:val="1A1A1A"/>
          <w:sz w:val="32"/>
          <w:szCs w:val="32"/>
        </w:rPr>
        <w:t xml:space="preserve">Policy Manual</w:t>
      </w:r>
    </w:p>
    <w:p>
      <w:pPr>
        <w:spacing w:after="80" w:before="80"/>
        <w:jc w:val="center"/>
      </w:pPr>
      <w:r>
        <w:rPr>
          <w:rFonts w:ascii="Arial" w:cs="Arial" w:eastAsia="Arial" w:hAnsi="Arial"/>
          <w:i/>
          <w:iCs/>
          <w:color w:val="666666"/>
          <w:sz w:val="24"/>
          <w:szCs w:val="24"/>
        </w:rPr>
        <w:t xml:space="preserve">Version 04.2026  |  Effective Date: April 13, 2026</w:t>
      </w:r>
    </w:p>
    <w:p>
      <w:pPr>
        <w:spacing w:after="240" w:before="40"/>
        <w:jc w:val="center"/>
      </w:pPr>
      <w:r>
        <w:rPr>
          <w:rFonts w:ascii="Arial" w:cs="Arial" w:eastAsia="Arial" w:hAnsi="Arial"/>
          <w:i/>
          <w:iCs/>
          <w:color w:val="666666"/>
          <w:sz w:val="24"/>
          <w:szCs w:val="24"/>
        </w:rPr>
        <w:t xml:space="preserve">OAC 1301:6-3-15.1(E)(1)(r)–(s)  |  Regulation S-P (17 CFR Part 248)</w:t>
      </w:r>
    </w:p>
    <w:p>
      <w:pPr>
        <w:pBdr>
          <w:bottom w:val="single" w:color="1B3A5C" w:sz="6" w:space="2"/>
        </w:pBdr>
        <w:spacing w:after="120" w:before="120"/>
      </w:pPr>
      <w:r>
        <w:t xml:space="preserve"/>
      </w:r>
    </w:p>
    <w:p>
      <w:pPr>
        <w:spacing w:after="0" w:before="0" w:line="240"/>
      </w:pPr>
      <w:r>
        <w:rPr>
          <w:sz w:val="24"/>
          <w:szCs w:val="24"/>
        </w:rPr>
        <w:t xml:space="preserve"/>
      </w:r>
    </w:p>
    <w:p>
      <w:pPr>
        <w:spacing w:after="120" w:before="120"/>
        <w:jc w:val="center"/>
      </w:pPr>
      <w:r>
        <w:rPr>
          <w:rFonts w:ascii="Arial" w:cs="Arial" w:eastAsia="Arial" w:hAnsi="Arial"/>
          <w:b/>
          <w:bCs/>
          <w:color w:val="666666"/>
          <w:sz w:val="24"/>
          <w:szCs w:val="24"/>
        </w:rPr>
        <w:t xml:space="preserve">CONFIDENTIAL — FOR INTERNAL USE ONLY</w:t>
      </w:r>
    </w:p>
    <w:p>
      <w:pPr>
        <w:spacing w:after="480" w:before="120"/>
        <w:jc w:val="center"/>
      </w:pPr>
      <w:r>
        <w:rPr>
          <w:rFonts w:ascii="Arial" w:cs="Arial" w:eastAsia="Arial" w:hAnsi="Arial"/>
          <w:color w:val="1A1A1A"/>
          <w:sz w:val="24"/>
          <w:szCs w:val="24"/>
        </w:rPr>
        <w:t xml:space="preserve">This Data Security Program is the property of Buckeye Wealth Partners, LLC (“BWP”). It is for the confidential use and information of employees of BWP. It may not be copied and must be returned to BWP upon request or upon termination of employment.</w:t>
      </w:r>
    </w:p>
    <w:p>
      <w:pPr>
        <w:spacing w:after="0" w:before="0" w:line="240"/>
      </w:pPr>
      <w:r>
        <w:rPr>
          <w:sz w:val="24"/>
          <w:szCs w:val="24"/>
        </w:rPr>
        <w:t xml:space="preserve"/>
      </w:r>
    </w:p>
    <w:p>
      <w:pPr>
        <w:spacing w:after="0" w:before="0" w:line="240"/>
      </w:pPr>
      <w:r>
        <w:rPr>
          <w:sz w:val="24"/>
          <w:szCs w:val="24"/>
        </w:rPr>
        <w:t xml:space="preserve"/>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Introduction</w:t>
      </w:r>
    </w:p>
    <w:p>
      <w:pPr>
        <w:keepNext/>
        <w:keepLines/>
        <w:spacing w:after="120" w:before="280" w:line="276" w:lineRule="auto"/>
      </w:pPr>
      <w:r>
        <w:rPr>
          <w:rFonts w:ascii="Arial" w:cs="Arial" w:eastAsia="Arial" w:hAnsi="Arial"/>
          <w:b/>
          <w:bCs/>
          <w:color w:val="2E6B9E"/>
          <w:sz w:val="28"/>
          <w:szCs w:val="28"/>
        </w:rPr>
        <w:t xml:space="preserve">Objective</w:t>
      </w:r>
    </w:p>
    <w:p>
      <w:pPr>
        <w:spacing w:after="120" w:before="120" w:line="276" w:lineRule="auto"/>
        <w:jc w:val="left"/>
      </w:pPr>
      <w:r>
        <w:rPr>
          <w:rFonts w:ascii="Arial" w:cs="Arial" w:eastAsia="Arial" w:hAnsi="Arial"/>
          <w:b w:val="false"/>
          <w:bCs w:val="false"/>
          <w:i w:val="false"/>
          <w:iCs w:val="false"/>
          <w:color w:val="1A1A1A"/>
          <w:sz w:val="24"/>
          <w:szCs w:val="24"/>
        </w:rPr>
        <w:t xml:space="preserve">Our objective, in the development and implementation of this Cybersecurity &amp; Data Protection Policy Manual (“the Program”), is to create effective administrative, technical, and physical safeguards for the protection of personal information of our clients, our employees, and proprietary data of Buckeye Wealth Partners, LLC. This Program sets forth our procedure for evaluating our electronic and physical methods of accessing, collecting, storing, using, transmitting, and protecting sensitive data. The Program complements BWP’s existing Business Continuity Plan and Privacy Policy. This Program is maintained in compliance with OAC 1301:6-3-15.1(E)(1)(r)–(s), OAC 1301:6-3-44(H), and Regulation S-P (17 CFR Part 248), including the 2024 amendments effective December 3, 2025.</w:t>
      </w:r>
    </w:p>
    <w:p>
      <w:pPr>
        <w:keepNext/>
        <w:keepLines/>
        <w:spacing w:after="120" w:before="280" w:line="276" w:lineRule="auto"/>
      </w:pPr>
      <w:r>
        <w:rPr>
          <w:rFonts w:ascii="Arial" w:cs="Arial" w:eastAsia="Arial" w:hAnsi="Arial"/>
          <w:b/>
          <w:bCs/>
          <w:color w:val="2E6B9E"/>
          <w:sz w:val="28"/>
          <w:szCs w:val="28"/>
        </w:rPr>
        <w:t xml:space="preserve">Purpose</w:t>
      </w:r>
    </w:p>
    <w:p>
      <w:pPr>
        <w:spacing w:after="120" w:before="120" w:line="276" w:lineRule="auto"/>
        <w:jc w:val="left"/>
      </w:pPr>
      <w:r>
        <w:rPr>
          <w:rFonts w:ascii="Arial" w:cs="Arial" w:eastAsia="Arial" w:hAnsi="Arial"/>
          <w:b w:val="false"/>
          <w:bCs w:val="false"/>
          <w:i w:val="false"/>
          <w:iCs w:val="false"/>
          <w:color w:val="1A1A1A"/>
          <w:sz w:val="24"/>
          <w:szCs w:val="24"/>
        </w:rPr>
        <w:t xml:space="preserve">The purpose of the Program is to:</w:t>
      </w:r>
    </w:p>
    <w:p>
      <w:pPr>
        <w:spacing w:after="60" w:before="60" w:line="276" w:lineRule="auto"/>
        <w:ind w:left="360"/>
      </w:pPr>
      <w:r>
        <w:rPr>
          <w:rFonts w:ascii="Arial" w:cs="Arial" w:eastAsia="Arial" w:hAnsi="Arial"/>
          <w:b w:val="false"/>
          <w:bCs w:val="false"/>
          <w:color w:val="1A1A1A"/>
          <w:sz w:val="24"/>
          <w:szCs w:val="24"/>
        </w:rPr>
        <w:t xml:space="preserve">•  Ensure the security and confidentiality of personal information;</w:t>
      </w:r>
    </w:p>
    <w:p>
      <w:pPr>
        <w:spacing w:after="60" w:before="60" w:line="276" w:lineRule="auto"/>
        <w:ind w:left="360"/>
      </w:pPr>
      <w:r>
        <w:rPr>
          <w:rFonts w:ascii="Arial" w:cs="Arial" w:eastAsia="Arial" w:hAnsi="Arial"/>
          <w:b w:val="false"/>
          <w:bCs w:val="false"/>
          <w:color w:val="1A1A1A"/>
          <w:sz w:val="24"/>
          <w:szCs w:val="24"/>
        </w:rPr>
        <w:t xml:space="preserve">•  Protect against any anticipated threats or hazards to the security or integrity of such information; and</w:t>
      </w:r>
    </w:p>
    <w:p>
      <w:pPr>
        <w:spacing w:after="60" w:before="60" w:line="276" w:lineRule="auto"/>
        <w:ind w:left="360"/>
      </w:pPr>
      <w:r>
        <w:rPr>
          <w:rFonts w:ascii="Arial" w:cs="Arial" w:eastAsia="Arial" w:hAnsi="Arial"/>
          <w:b w:val="false"/>
          <w:bCs w:val="false"/>
          <w:color w:val="1A1A1A"/>
          <w:sz w:val="24"/>
          <w:szCs w:val="24"/>
        </w:rPr>
        <w:t xml:space="preserve">•  Protect against unauthorized access to or use of such information in a manner that creates a substantial risk of theft or fraud.</w:t>
      </w:r>
    </w:p>
    <w:p>
      <w:pPr>
        <w:keepNext/>
        <w:keepLines/>
        <w:spacing w:after="120" w:before="280" w:line="276" w:lineRule="auto"/>
      </w:pPr>
      <w:r>
        <w:rPr>
          <w:rFonts w:ascii="Arial" w:cs="Arial" w:eastAsia="Arial" w:hAnsi="Arial"/>
          <w:b/>
          <w:bCs/>
          <w:color w:val="2E6B9E"/>
          <w:sz w:val="28"/>
          <w:szCs w:val="28"/>
        </w:rPr>
        <w:t xml:space="preserve">Scope</w:t>
      </w:r>
    </w:p>
    <w:p>
      <w:pPr>
        <w:spacing w:after="120" w:before="120" w:line="276" w:lineRule="auto"/>
        <w:jc w:val="left"/>
      </w:pPr>
      <w:r>
        <w:rPr>
          <w:rFonts w:ascii="Arial" w:cs="Arial" w:eastAsia="Arial" w:hAnsi="Arial"/>
          <w:b w:val="false"/>
          <w:bCs w:val="false"/>
          <w:i w:val="false"/>
          <w:iCs w:val="false"/>
          <w:color w:val="1A1A1A"/>
          <w:sz w:val="24"/>
          <w:szCs w:val="24"/>
        </w:rPr>
        <w:t xml:space="preserve">In formulating and implementing the Program, we will:</w:t>
      </w:r>
    </w:p>
    <w:p>
      <w:pPr>
        <w:spacing w:after="60" w:before="60" w:line="276" w:lineRule="auto"/>
        <w:ind w:left="360"/>
      </w:pPr>
      <w:r>
        <w:rPr>
          <w:rFonts w:ascii="Arial" w:cs="Arial" w:eastAsia="Arial" w:hAnsi="Arial"/>
          <w:b w:val="false"/>
          <w:bCs w:val="false"/>
          <w:color w:val="1A1A1A"/>
          <w:sz w:val="24"/>
          <w:szCs w:val="24"/>
        </w:rPr>
        <w:t xml:space="preserve">•  Identify reasonably foreseeable internal and external risks to the security, confidentiality, and/or integrity of any electronic, paper, or other records containing personal information;</w:t>
      </w:r>
    </w:p>
    <w:p>
      <w:pPr>
        <w:spacing w:after="60" w:before="60" w:line="276" w:lineRule="auto"/>
        <w:ind w:left="360"/>
      </w:pPr>
      <w:r>
        <w:rPr>
          <w:rFonts w:ascii="Arial" w:cs="Arial" w:eastAsia="Arial" w:hAnsi="Arial"/>
          <w:b w:val="false"/>
          <w:bCs w:val="false"/>
          <w:color w:val="1A1A1A"/>
          <w:sz w:val="24"/>
          <w:szCs w:val="24"/>
        </w:rPr>
        <w:t xml:space="preserve">•  Assess the likelihood and potential damage of these threats, taking into consideration the sensitivity of the personal information;</w:t>
      </w:r>
    </w:p>
    <w:p>
      <w:pPr>
        <w:spacing w:after="60" w:before="60" w:line="276" w:lineRule="auto"/>
        <w:ind w:left="360"/>
      </w:pPr>
      <w:r>
        <w:rPr>
          <w:rFonts w:ascii="Arial" w:cs="Arial" w:eastAsia="Arial" w:hAnsi="Arial"/>
          <w:b w:val="false"/>
          <w:bCs w:val="false"/>
          <w:color w:val="1A1A1A"/>
          <w:sz w:val="24"/>
          <w:szCs w:val="24"/>
        </w:rPr>
        <w:t xml:space="preserve">•  Evaluate the sufficiency of existing policies, procedures, customer information systems, and other safeguards in place to control risks;</w:t>
      </w:r>
    </w:p>
    <w:p>
      <w:pPr>
        <w:spacing w:after="60" w:before="60" w:line="276" w:lineRule="auto"/>
        <w:ind w:left="360"/>
      </w:pPr>
      <w:r>
        <w:rPr>
          <w:rFonts w:ascii="Arial" w:cs="Arial" w:eastAsia="Arial" w:hAnsi="Arial"/>
          <w:b w:val="false"/>
          <w:bCs w:val="false"/>
          <w:color w:val="1A1A1A"/>
          <w:sz w:val="24"/>
          <w:szCs w:val="24"/>
        </w:rPr>
        <w:t xml:space="preserve">•  Design and implement a Program that puts safeguards in place to minimize those risks, consistent with Federal and State laws; and</w:t>
      </w:r>
    </w:p>
    <w:p>
      <w:pPr>
        <w:spacing w:after="60" w:before="60" w:line="276" w:lineRule="auto"/>
        <w:ind w:left="360"/>
      </w:pPr>
      <w:r>
        <w:rPr>
          <w:rFonts w:ascii="Arial" w:cs="Arial" w:eastAsia="Arial" w:hAnsi="Arial"/>
          <w:b w:val="false"/>
          <w:bCs w:val="false"/>
          <w:color w:val="1A1A1A"/>
          <w:sz w:val="24"/>
          <w:szCs w:val="24"/>
        </w:rPr>
        <w:t xml:space="preserve">•  Regularly monitor the effectiveness of those safeguards.</w:t>
      </w:r>
    </w:p>
    <w:p>
      <w:pPr>
        <w:keepNext/>
        <w:keepLines/>
        <w:spacing w:after="120" w:before="280" w:line="276" w:lineRule="auto"/>
      </w:pPr>
      <w:r>
        <w:rPr>
          <w:rFonts w:ascii="Arial" w:cs="Arial" w:eastAsia="Arial" w:hAnsi="Arial"/>
          <w:b/>
          <w:bCs/>
          <w:color w:val="2E6B9E"/>
          <w:sz w:val="28"/>
          <w:szCs w:val="28"/>
        </w:rPr>
        <w:t xml:space="preserve">Supervision</w:t>
      </w:r>
    </w:p>
    <w:p>
      <w:pPr>
        <w:spacing w:after="120" w:before="120" w:line="276" w:lineRule="auto"/>
        <w:jc w:val="left"/>
      </w:pPr>
      <w:r>
        <w:rPr>
          <w:rFonts w:ascii="Arial" w:cs="Arial" w:eastAsia="Arial" w:hAnsi="Arial"/>
          <w:b w:val="false"/>
          <w:bCs w:val="false"/>
          <w:i w:val="false"/>
          <w:iCs w:val="false"/>
          <w:color w:val="1A1A1A"/>
          <w:sz w:val="24"/>
          <w:szCs w:val="24"/>
        </w:rPr>
        <w:t xml:space="preserve">We have designated Jim Kilgore, CFP®, (“CCO”) to implement, supervise, and maintain the Program. The CCO or a designee elected by the CCO will be responsible for:</w:t>
      </w:r>
    </w:p>
    <w:p>
      <w:pPr>
        <w:spacing w:after="60" w:before="60" w:line="276" w:lineRule="auto"/>
        <w:ind w:left="360"/>
      </w:pPr>
      <w:r>
        <w:rPr>
          <w:rFonts w:ascii="Arial" w:cs="Arial" w:eastAsia="Arial" w:hAnsi="Arial"/>
          <w:b w:val="false"/>
          <w:bCs w:val="false"/>
          <w:color w:val="1A1A1A"/>
          <w:sz w:val="24"/>
          <w:szCs w:val="24"/>
        </w:rPr>
        <w:t xml:space="preserve">•  Initial implementation of the Program;</w:t>
      </w:r>
    </w:p>
    <w:p>
      <w:pPr>
        <w:spacing w:after="60" w:before="60" w:line="276" w:lineRule="auto"/>
        <w:ind w:left="360"/>
      </w:pPr>
      <w:r>
        <w:rPr>
          <w:rFonts w:ascii="Arial" w:cs="Arial" w:eastAsia="Arial" w:hAnsi="Arial"/>
          <w:b w:val="false"/>
          <w:bCs w:val="false"/>
          <w:color w:val="1A1A1A"/>
          <w:sz w:val="24"/>
          <w:szCs w:val="24"/>
        </w:rPr>
        <w:t xml:space="preserve">•  Training employees;</w:t>
      </w:r>
    </w:p>
    <w:p>
      <w:pPr>
        <w:spacing w:after="60" w:before="60" w:line="276" w:lineRule="auto"/>
        <w:ind w:left="360"/>
      </w:pPr>
      <w:r>
        <w:rPr>
          <w:rFonts w:ascii="Arial" w:cs="Arial" w:eastAsia="Arial" w:hAnsi="Arial"/>
          <w:b w:val="false"/>
          <w:bCs w:val="false"/>
          <w:color w:val="1A1A1A"/>
          <w:sz w:val="24"/>
          <w:szCs w:val="24"/>
        </w:rPr>
        <w:t xml:space="preserve">•  Regular testing of the Program’s safeguards;</w:t>
      </w:r>
    </w:p>
    <w:p>
      <w:pPr>
        <w:spacing w:after="60" w:before="60" w:line="276" w:lineRule="auto"/>
        <w:ind w:left="360"/>
      </w:pPr>
      <w:r>
        <w:rPr>
          <w:rFonts w:ascii="Arial" w:cs="Arial" w:eastAsia="Arial" w:hAnsi="Arial"/>
          <w:b w:val="false"/>
          <w:bCs w:val="false"/>
          <w:color w:val="1A1A1A"/>
          <w:sz w:val="24"/>
          <w:szCs w:val="24"/>
        </w:rPr>
        <w:t xml:space="preserve">•  Evaluating the ability of each of our third-party service providers to implement and maintain appropriate security measures for the personal information to which we have permitted them access and requiring such third-party service providers by contract to implement and maintain appropriate security measures;</w:t>
      </w:r>
    </w:p>
    <w:p>
      <w:pPr>
        <w:spacing w:after="60" w:before="60" w:line="276" w:lineRule="auto"/>
        <w:ind w:left="360"/>
      </w:pPr>
      <w:r>
        <w:rPr>
          <w:rFonts w:ascii="Arial" w:cs="Arial" w:eastAsia="Arial" w:hAnsi="Arial"/>
          <w:b w:val="false"/>
          <w:bCs w:val="false"/>
          <w:color w:val="1A1A1A"/>
          <w:sz w:val="24"/>
          <w:szCs w:val="24"/>
        </w:rPr>
        <w:t xml:space="preserve">•  Reviewing the scope of the security measures in the Program at least annually, or whenever there is a material change in our business practices that may implicate the security or integrity of records containing personal information;</w:t>
      </w:r>
    </w:p>
    <w:p>
      <w:pPr>
        <w:spacing w:after="60" w:before="60" w:line="276" w:lineRule="auto"/>
        <w:ind w:left="360"/>
      </w:pPr>
      <w:r>
        <w:rPr>
          <w:rFonts w:ascii="Arial" w:cs="Arial" w:eastAsia="Arial" w:hAnsi="Arial"/>
          <w:b w:val="false"/>
          <w:bCs w:val="false"/>
          <w:color w:val="1A1A1A"/>
          <w:sz w:val="24"/>
          <w:szCs w:val="24"/>
        </w:rPr>
        <w:t xml:space="preserve">•  Conducting an annual training session for all relevant staff, including temporary and contract employees who have access to personal information on the elements of the Program. All attendees at such training sessions are required to certify their attendance at the training, and their familiarity with BWP’s requirements for ensuring the protection of personal information.</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Data Security Program</w:t>
      </w:r>
    </w:p>
    <w:p>
      <w:pPr>
        <w:keepNext/>
        <w:keepLines/>
        <w:spacing w:after="120" w:before="280" w:line="276" w:lineRule="auto"/>
      </w:pPr>
      <w:r>
        <w:rPr>
          <w:rFonts w:ascii="Arial" w:cs="Arial" w:eastAsia="Arial" w:hAnsi="Arial"/>
          <w:b/>
          <w:bCs/>
          <w:color w:val="2E6B9E"/>
          <w:sz w:val="28"/>
          <w:szCs w:val="28"/>
        </w:rPr>
        <w:t xml:space="preserve">Risk Identification and Assessment</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Classifying data according to its sensitivity level is a common practice that provides insight into how certain data should be protected across a firm. Adequately protecting data according to its classification level reduces risk and supports the appropriate allocation of resources (e.g., resources are not spent “overprotecting” low-risk data).</w:t>
      </w:r>
    </w:p>
    <w:p>
      <w:pPr>
        <w:spacing w:after="120" w:before="120" w:line="276" w:lineRule="auto"/>
        <w:jc w:val="left"/>
      </w:pPr>
      <w:r>
        <w:rPr>
          <w:rFonts w:ascii="Arial" w:cs="Arial" w:eastAsia="Arial" w:hAnsi="Arial"/>
          <w:b w:val="false"/>
          <w:bCs w:val="false"/>
          <w:i w:val="false"/>
          <w:iCs w:val="false"/>
          <w:color w:val="1A1A1A"/>
          <w:sz w:val="24"/>
          <w:szCs w:val="24"/>
        </w:rPr>
        <w:t xml:space="preserve">Risk Identification: BWP conducts a risk assessment reasonably designed to identify foreseeable internal and external risks to the security, confidentiality, and integrity of data and the systems used by BWP and critical third-parties to process that data, where such risks could result in the unauthorized disclosure, misuse, alteration, or destruction of that information or those systems. This risk assessment includes the following:</w:t>
      </w:r>
    </w:p>
    <w:p>
      <w:pPr>
        <w:spacing w:after="60" w:before="60" w:line="276" w:lineRule="auto"/>
        <w:ind w:left="360"/>
      </w:pPr>
      <w:r>
        <w:rPr>
          <w:rFonts w:ascii="Arial" w:cs="Arial" w:eastAsia="Arial" w:hAnsi="Arial"/>
          <w:b w:val="false"/>
          <w:bCs w:val="false"/>
          <w:color w:val="1A1A1A"/>
          <w:sz w:val="24"/>
          <w:szCs w:val="24"/>
        </w:rPr>
        <w:t xml:space="preserve">•  Data Inventory – This is completed to detail what data BWP has, where it is kept, how it is protected, and who can access it.</w:t>
      </w:r>
    </w:p>
    <w:p>
      <w:pPr>
        <w:spacing w:after="60" w:before="60" w:line="276" w:lineRule="auto"/>
        <w:ind w:left="360"/>
      </w:pPr>
      <w:r>
        <w:rPr>
          <w:rFonts w:ascii="Arial" w:cs="Arial" w:eastAsia="Arial" w:hAnsi="Arial"/>
          <w:b w:val="false"/>
          <w:bCs w:val="false"/>
          <w:color w:val="1A1A1A"/>
          <w:sz w:val="24"/>
          <w:szCs w:val="24"/>
        </w:rPr>
        <w:t xml:space="preserve">•  Data Classification – Data classification is one of the most important steps in data security. Not all data is created equal, and few businesses have the time or resources to provide maximum protection to all of their data. In order to understand what our most sensitive data is, where it is, and how well it is protected, BWP has applied the following data classifications:</w:t>
      </w:r>
    </w:p>
    <w:p>
      <w:pPr>
        <w:spacing w:after="40" w:before="40" w:line="276" w:lineRule="auto"/>
        <w:ind w:left="720"/>
      </w:pPr>
      <w:r>
        <w:rPr>
          <w:rFonts w:ascii="Arial" w:cs="Arial" w:eastAsia="Arial" w:hAnsi="Arial"/>
          <w:color w:val="1A1A1A"/>
          <w:sz w:val="24"/>
          <w:szCs w:val="24"/>
        </w:rPr>
        <w:t xml:space="preserve">◦  An essential element of data classification is determining if the data contain Personally Identifiable Information (“PII”). PII is any piece of information meant to identify a specific individual. There are two types of PII: highly confidential &amp; sensitive.</w:t>
      </w:r>
    </w:p>
    <w:p>
      <w:pPr>
        <w:spacing w:after="40" w:before="40" w:line="276" w:lineRule="auto"/>
        <w:ind w:left="720"/>
      </w:pPr>
      <w:r>
        <w:rPr>
          <w:rFonts w:ascii="Arial" w:cs="Arial" w:eastAsia="Arial" w:hAnsi="Arial"/>
          <w:color w:val="1A1A1A"/>
          <w:sz w:val="24"/>
          <w:szCs w:val="24"/>
        </w:rPr>
        <w:t xml:space="preserve">◦  Highly Confidential PII has legal, contractual or ethical requirements for restricted disclosure, and would result in personal damage if lost or compromised. Examples of Highly Confidential PII include: SSN, EIN, passport info, credit/debit card #s, account #s, driver’s license number, financial accounts details, login credentials, full birth date, and passwords.</w:t>
      </w:r>
    </w:p>
    <w:p>
      <w:pPr>
        <w:spacing w:after="40" w:before="40" w:line="276" w:lineRule="auto"/>
        <w:ind w:left="720"/>
      </w:pPr>
      <w:r>
        <w:rPr>
          <w:rFonts w:ascii="Arial" w:cs="Arial" w:eastAsia="Arial" w:hAnsi="Arial"/>
          <w:color w:val="1A1A1A"/>
          <w:sz w:val="24"/>
          <w:szCs w:val="24"/>
        </w:rPr>
        <w:t xml:space="preserve">◦  Sensitive PII is data that is public record and can be combined with Highly Confidential PII data resulting in identity theft. Examples of Sensitive data include: address, place of birth, IP address, employment-related info, religion, ethnicity, email addresses, phone numbers and month-day-only birthday (“MDO Bday”).</w:t>
      </w:r>
    </w:p>
    <w:p>
      <w:pPr>
        <w:spacing w:after="60" w:before="60" w:line="276" w:lineRule="auto"/>
        <w:ind w:left="360"/>
      </w:pPr>
      <w:r>
        <w:rPr>
          <w:rFonts w:ascii="Arial" w:cs="Arial" w:eastAsia="Arial" w:hAnsi="Arial"/>
          <w:b w:val="false"/>
          <w:bCs w:val="false"/>
          <w:color w:val="1A1A1A"/>
          <w:sz w:val="24"/>
          <w:szCs w:val="24"/>
        </w:rPr>
        <w:t xml:space="preserve">•  HIGHLY CONFIDENTIAL. This classification applies to data containing Highly Confidential PII.</w:t>
      </w:r>
    </w:p>
    <w:p>
      <w:pPr>
        <w:spacing w:after="60" w:before="60" w:line="276" w:lineRule="auto"/>
        <w:ind w:left="360"/>
      </w:pPr>
      <w:r>
        <w:rPr>
          <w:rFonts w:ascii="Arial" w:cs="Arial" w:eastAsia="Arial" w:hAnsi="Arial"/>
          <w:b w:val="false"/>
          <w:bCs w:val="false"/>
          <w:color w:val="1A1A1A"/>
          <w:sz w:val="24"/>
          <w:szCs w:val="24"/>
        </w:rPr>
        <w:t xml:space="preserve">•  SENSITIVE. This applies to data containing Sensitive PII.</w:t>
      </w:r>
    </w:p>
    <w:p>
      <w:pPr>
        <w:spacing w:after="60" w:before="60" w:line="276" w:lineRule="auto"/>
        <w:ind w:left="360"/>
      </w:pPr>
      <w:r>
        <w:rPr>
          <w:rFonts w:ascii="Arial" w:cs="Arial" w:eastAsia="Arial" w:hAnsi="Arial"/>
          <w:b w:val="false"/>
          <w:bCs w:val="false"/>
          <w:color w:val="1A1A1A"/>
          <w:sz w:val="24"/>
          <w:szCs w:val="24"/>
        </w:rPr>
        <w:t xml:space="preserve">•  INTERNAL USE ONLY. This classification applies to data that contains no type of client or employee PII. Examples include: software used for marketing, task management systems that contain no PII, among others.</w:t>
      </w:r>
    </w:p>
    <w:p>
      <w:pPr>
        <w:spacing w:after="60" w:before="60" w:line="276" w:lineRule="auto"/>
        <w:ind w:left="360"/>
      </w:pPr>
      <w:r>
        <w:rPr>
          <w:rFonts w:ascii="Arial" w:cs="Arial" w:eastAsia="Arial" w:hAnsi="Arial"/>
          <w:b w:val="false"/>
          <w:bCs w:val="false"/>
          <w:color w:val="1A1A1A"/>
          <w:sz w:val="24"/>
          <w:szCs w:val="24"/>
        </w:rPr>
        <w:t xml:space="preserve">•  Security Control Analysis – Analyze how BWP protects its systems, identify security weaknesses, and create remediation plans.</w:t>
      </w:r>
    </w:p>
    <w:p>
      <w:pPr>
        <w:spacing w:after="100" w:before="220" w:line="276" w:lineRule="auto"/>
      </w:pPr>
      <w:r>
        <w:rPr>
          <w:rFonts w:ascii="Arial" w:cs="Arial" w:eastAsia="Arial" w:hAnsi="Arial"/>
          <w:b/>
          <w:bCs/>
          <w:color w:val="1A1A1A"/>
          <w:sz w:val="24"/>
          <w:szCs w:val="24"/>
        </w:rPr>
        <w:t xml:space="preserve">Evaluation</w:t>
      </w:r>
    </w:p>
    <w:p>
      <w:pPr>
        <w:spacing w:after="120" w:before="120" w:line="276" w:lineRule="auto"/>
        <w:jc w:val="left"/>
      </w:pPr>
      <w:r>
        <w:rPr>
          <w:rFonts w:ascii="Arial" w:cs="Arial" w:eastAsia="Arial" w:hAnsi="Arial"/>
          <w:b w:val="false"/>
          <w:bCs w:val="false"/>
          <w:i w:val="false"/>
          <w:iCs w:val="false"/>
          <w:color w:val="1A1A1A"/>
          <w:sz w:val="24"/>
          <w:szCs w:val="24"/>
        </w:rPr>
        <w:t xml:space="preserve">BWP evaluates the Data Security Program, on at least an annual basis, based on the following:</w:t>
      </w:r>
    </w:p>
    <w:p>
      <w:pPr>
        <w:spacing w:after="60" w:before="60" w:line="276" w:lineRule="auto"/>
        <w:ind w:left="360"/>
      </w:pPr>
      <w:r>
        <w:rPr>
          <w:rFonts w:ascii="Arial" w:cs="Arial" w:eastAsia="Arial" w:hAnsi="Arial"/>
          <w:b w:val="false"/>
          <w:bCs w:val="false"/>
          <w:color w:val="1A1A1A"/>
          <w:sz w:val="24"/>
          <w:szCs w:val="24"/>
        </w:rPr>
        <w:t xml:space="preserve">•  Those matters identified as material risks in the Risk Assessment;</w:t>
      </w:r>
    </w:p>
    <w:p>
      <w:pPr>
        <w:spacing w:after="60" w:before="60" w:line="276" w:lineRule="auto"/>
        <w:ind w:left="360"/>
      </w:pPr>
      <w:r>
        <w:rPr>
          <w:rFonts w:ascii="Arial" w:cs="Arial" w:eastAsia="Arial" w:hAnsi="Arial"/>
          <w:b w:val="false"/>
          <w:bCs w:val="false"/>
          <w:color w:val="1A1A1A"/>
          <w:sz w:val="24"/>
          <w:szCs w:val="24"/>
        </w:rPr>
        <w:t xml:space="preserve">•  Relevant changes in technology and business processes, if any;</w:t>
      </w:r>
    </w:p>
    <w:p>
      <w:pPr>
        <w:spacing w:after="60" w:before="60" w:line="276" w:lineRule="auto"/>
        <w:ind w:left="360"/>
      </w:pPr>
      <w:r>
        <w:rPr>
          <w:rFonts w:ascii="Arial" w:cs="Arial" w:eastAsia="Arial" w:hAnsi="Arial"/>
          <w:b w:val="false"/>
          <w:bCs w:val="false"/>
          <w:color w:val="1A1A1A"/>
          <w:sz w:val="24"/>
          <w:szCs w:val="24"/>
        </w:rPr>
        <w:t xml:space="preserve">•  Any material changes in or to BWP’s operations or business arrangements, including any material change in technology or technology-based services provided by a Vendor; and</w:t>
      </w:r>
    </w:p>
    <w:p>
      <w:pPr>
        <w:spacing w:after="60" w:before="60" w:line="276" w:lineRule="auto"/>
        <w:ind w:left="360"/>
      </w:pPr>
      <w:r>
        <w:rPr>
          <w:rFonts w:ascii="Arial" w:cs="Arial" w:eastAsia="Arial" w:hAnsi="Arial"/>
          <w:b w:val="false"/>
          <w:bCs w:val="false"/>
          <w:color w:val="1A1A1A"/>
          <w:sz w:val="24"/>
          <w:szCs w:val="24"/>
        </w:rPr>
        <w:t xml:space="preserve">•  Any other circumstance that BWP reasonably believes may have a material impact on the Program.</w:t>
      </w:r>
    </w:p>
    <w:p>
      <w:pPr>
        <w:spacing w:after="100" w:before="220" w:line="276" w:lineRule="auto"/>
      </w:pPr>
      <w:r>
        <w:rPr>
          <w:rFonts w:ascii="Arial" w:cs="Arial" w:eastAsia="Arial" w:hAnsi="Arial"/>
          <w:b/>
          <w:bCs/>
          <w:color w:val="1A1A1A"/>
          <w:sz w:val="24"/>
          <w:szCs w:val="24"/>
        </w:rPr>
        <w:t xml:space="preserve">Annual Cybersecurity Risk Assessment Schedule</w:t>
      </w:r>
    </w:p>
    <w:p>
      <w:pPr>
        <w:spacing w:after="120" w:before="120" w:line="276" w:lineRule="auto"/>
        <w:jc w:val="left"/>
      </w:pPr>
      <w:r>
        <w:rPr>
          <w:rFonts w:ascii="Arial" w:cs="Arial" w:eastAsia="Arial" w:hAnsi="Arial"/>
          <w:b w:val="false"/>
          <w:bCs w:val="false"/>
          <w:i w:val="false"/>
          <w:iCs w:val="false"/>
          <w:color w:val="1A1A1A"/>
          <w:sz w:val="24"/>
          <w:szCs w:val="24"/>
        </w:rPr>
        <w:t xml:space="preserve">BWP shall conduct a formal cybersecurity risk assessment annually, completed no later than June 30 of each calendar year. The assessment shall be documented in writing, signed by the CCO, and retained for five (5) years. The assessment shall be based on the risk identification and evaluation criteria described above and shall include a summary of any identified vulnerabilities and remediation actions taken or planned.</w:t>
      </w:r>
    </w:p>
    <w:p>
      <w:pPr>
        <w:keepNext/>
        <w:keepLines/>
        <w:spacing w:after="120" w:before="280" w:line="276" w:lineRule="auto"/>
      </w:pPr>
      <w:r>
        <w:rPr>
          <w:rFonts w:ascii="Arial" w:cs="Arial" w:eastAsia="Arial" w:hAnsi="Arial"/>
          <w:b/>
          <w:bCs/>
          <w:color w:val="2E6B9E"/>
          <w:sz w:val="28"/>
          <w:szCs w:val="28"/>
        </w:rPr>
        <w:t xml:space="preserve">Vendor Due Diligence</w:t>
      </w:r>
    </w:p>
    <w:p>
      <w:pPr>
        <w:spacing w:after="120" w:before="120" w:line="276" w:lineRule="auto"/>
        <w:jc w:val="left"/>
      </w:pPr>
      <w:r>
        <w:rPr>
          <w:rFonts w:ascii="Arial" w:cs="Arial" w:eastAsia="Arial" w:hAnsi="Arial"/>
          <w:b w:val="false"/>
          <w:bCs w:val="false"/>
          <w:i w:val="false"/>
          <w:iCs w:val="false"/>
          <w:color w:val="1A1A1A"/>
          <w:sz w:val="24"/>
          <w:szCs w:val="24"/>
        </w:rPr>
        <w:t xml:space="preserve">Vendors: BWP has taken the following actions intended to identify potential weaknesses and vulnerabilities in the Program as a result of BWP’s reliance on technology-based processes maintained by Vendors:</w:t>
      </w:r>
    </w:p>
    <w:p>
      <w:pPr>
        <w:spacing w:after="60" w:before="60" w:line="276" w:lineRule="auto"/>
        <w:ind w:left="360"/>
      </w:pPr>
      <w:r>
        <w:rPr>
          <w:rFonts w:ascii="Arial" w:cs="Arial" w:eastAsia="Arial" w:hAnsi="Arial"/>
          <w:b w:val="false"/>
          <w:bCs w:val="false"/>
          <w:color w:val="1A1A1A"/>
          <w:sz w:val="24"/>
          <w:szCs w:val="24"/>
        </w:rPr>
        <w:t xml:space="preserve">•  BWP has evaluated existing safeguards which restrict access by employees and third-parties to technology provided by Vendors;</w:t>
      </w:r>
    </w:p>
    <w:p>
      <w:pPr>
        <w:spacing w:after="60" w:before="60" w:line="276" w:lineRule="auto"/>
        <w:ind w:left="360"/>
      </w:pPr>
      <w:r>
        <w:rPr>
          <w:rFonts w:ascii="Arial" w:cs="Arial" w:eastAsia="Arial" w:hAnsi="Arial"/>
          <w:b w:val="false"/>
          <w:bCs w:val="false"/>
          <w:color w:val="1A1A1A"/>
          <w:sz w:val="24"/>
          <w:szCs w:val="24"/>
        </w:rPr>
        <w:t xml:space="preserve">•  Before BWP selects a Vendor, it reviews the prospective Vendor’s information security protocols and protections relative to BWP’s due diligence standards; and</w:t>
      </w:r>
    </w:p>
    <w:p>
      <w:pPr>
        <w:spacing w:after="60" w:before="60" w:line="276" w:lineRule="auto"/>
        <w:ind w:left="360"/>
      </w:pPr>
      <w:r>
        <w:rPr>
          <w:rFonts w:ascii="Arial" w:cs="Arial" w:eastAsia="Arial" w:hAnsi="Arial"/>
          <w:b w:val="false"/>
          <w:bCs w:val="false"/>
          <w:color w:val="1A1A1A"/>
          <w:sz w:val="24"/>
          <w:szCs w:val="24"/>
        </w:rPr>
        <w:t xml:space="preserve">•  BWP monitors Vendors for indications of any security lapses or interruptions relating to networks and data maintained by those Vendors.</w:t>
      </w:r>
    </w:p>
    <w:p>
      <w:pPr>
        <w:keepNext/>
        <w:keepLines/>
        <w:spacing w:after="120" w:before="280" w:line="276" w:lineRule="auto"/>
      </w:pPr>
      <w:r>
        <w:rPr>
          <w:rFonts w:ascii="Arial" w:cs="Arial" w:eastAsia="Arial" w:hAnsi="Arial"/>
          <w:b/>
          <w:bCs/>
          <w:color w:val="2E6B9E"/>
          <w:sz w:val="28"/>
          <w:szCs w:val="28"/>
        </w:rPr>
        <w:t xml:space="preserve">Website Security</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Web application vulnerabilities account for the largest portion of attacks outside of malware. It is crucial that any web application be assessed for vulnerabilities and that any identified vulnerabilities be remediated prior to use.</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BWP does not store, transmit or receive any client data or data relating to any client accounts on its own public website.</w:t>
      </w:r>
    </w:p>
    <w:p>
      <w:pPr>
        <w:keepNext/>
        <w:keepLines/>
        <w:spacing w:after="120" w:before="280" w:line="276" w:lineRule="auto"/>
      </w:pPr>
      <w:r>
        <w:rPr>
          <w:rFonts w:ascii="Arial" w:cs="Arial" w:eastAsia="Arial" w:hAnsi="Arial"/>
          <w:b/>
          <w:bCs/>
          <w:color w:val="2E6B9E"/>
          <w:sz w:val="28"/>
          <w:szCs w:val="28"/>
        </w:rPr>
        <w:t xml:space="preserve">Multi-Factor Authentication (MFA) — Firm-Wide Standard</w:t>
      </w:r>
    </w:p>
    <w:p>
      <w:pPr>
        <w:spacing w:after="120" w:before="120" w:line="276" w:lineRule="auto"/>
        <w:jc w:val="left"/>
      </w:pPr>
      <w:r>
        <w:rPr>
          <w:rFonts w:ascii="Arial" w:cs="Arial" w:eastAsia="Arial" w:hAnsi="Arial"/>
          <w:b w:val="false"/>
          <w:bCs w:val="false"/>
          <w:i w:val="false"/>
          <w:iCs w:val="false"/>
          <w:color w:val="1A1A1A"/>
          <w:sz w:val="24"/>
          <w:szCs w:val="24"/>
        </w:rPr>
        <w:t xml:space="preserve">Multi-factor authentication (MFA) shall be required for all systems, applications, and platforms that contain or provide access to client nonpublic personal information, including but not limited to: CRM (Wealthbox), custodian portals (Altruist, Goldman Sachs), email (Microsoft 365), cloud storage (OneDrive/SharePoint), financial planning software, and remote access tools.</w:t>
      </w:r>
    </w:p>
    <w:p>
      <w:pPr>
        <w:spacing w:after="120" w:before="120" w:line="276" w:lineRule="auto"/>
        <w:jc w:val="left"/>
      </w:pPr>
      <w:r>
        <w:rPr>
          <w:rFonts w:ascii="Arial" w:cs="Arial" w:eastAsia="Arial" w:hAnsi="Arial"/>
          <w:b w:val="false"/>
          <w:bCs w:val="false"/>
          <w:i w:val="false"/>
          <w:iCs w:val="false"/>
          <w:color w:val="1A1A1A"/>
          <w:sz w:val="24"/>
          <w:szCs w:val="24"/>
        </w:rPr>
        <w:t xml:space="preserve">MFA is one of the most effective methods to prevent email-based and account-based incidents. Where available, employees must use an MFA mobile authenticator application (e.g., Microsoft Authenticator) rather than SMS text message-based MFA. LastPass or an equivalent enterprise password manager shall be used to manage credentials for all firm systems.</w:t>
      </w:r>
    </w:p>
    <w:p>
      <w:pPr>
        <w:keepNext/>
        <w:keepLines/>
        <w:spacing w:after="120" w:before="280" w:line="276" w:lineRule="auto"/>
      </w:pPr>
      <w:r>
        <w:rPr>
          <w:rFonts w:ascii="Arial" w:cs="Arial" w:eastAsia="Arial" w:hAnsi="Arial"/>
          <w:b/>
          <w:bCs/>
          <w:color w:val="2E6B9E"/>
          <w:sz w:val="28"/>
          <w:szCs w:val="28"/>
        </w:rPr>
        <w:t xml:space="preserve">Password Protection Policy</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Passwords are an important aspect of computer security. A poorly chosen password may result in unauthorized access and/or exploitation of BWP’s resources. The purpose of this policy is to establish a standard for creation of strong passwords, the protection of those passwords, and the frequency of change.</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All users, including contractors and vendors with access to BWP systems, are responsible for taking the appropriate steps, as outlined below, to select and secure their passwords.</w:t>
      </w:r>
    </w:p>
    <w:p>
      <w:pPr>
        <w:spacing w:after="100" w:before="220" w:line="276" w:lineRule="auto"/>
      </w:pPr>
      <w:r>
        <w:rPr>
          <w:rFonts w:ascii="Arial" w:cs="Arial" w:eastAsia="Arial" w:hAnsi="Arial"/>
          <w:b/>
          <w:bCs/>
          <w:color w:val="1A1A1A"/>
          <w:sz w:val="24"/>
          <w:szCs w:val="24"/>
        </w:rPr>
        <w:t xml:space="preserve">Password Creation</w:t>
      </w:r>
    </w:p>
    <w:p>
      <w:pPr>
        <w:spacing w:after="120" w:before="120" w:line="276" w:lineRule="auto"/>
        <w:jc w:val="left"/>
      </w:pPr>
      <w:r>
        <w:rPr>
          <w:rFonts w:ascii="Arial" w:cs="Arial" w:eastAsia="Arial" w:hAnsi="Arial"/>
          <w:b w:val="false"/>
          <w:bCs w:val="false"/>
          <w:i w:val="false"/>
          <w:iCs w:val="false"/>
          <w:color w:val="1A1A1A"/>
          <w:sz w:val="24"/>
          <w:szCs w:val="24"/>
        </w:rPr>
        <w:t xml:space="preserve">Certain service providers have their own unique requirements for password creation. In the event no password requirements are in place, employees are required to use our Password Construction Guidelines to create new passwords. Where possible, users must not use the same password for various BWP access needs.</w:t>
      </w:r>
    </w:p>
    <w:p>
      <w:pPr>
        <w:spacing w:after="100" w:before="220" w:line="276" w:lineRule="auto"/>
      </w:pPr>
      <w:r>
        <w:rPr>
          <w:rFonts w:ascii="Arial" w:cs="Arial" w:eastAsia="Arial" w:hAnsi="Arial"/>
          <w:b/>
          <w:bCs/>
          <w:color w:val="1A1A1A"/>
          <w:sz w:val="24"/>
          <w:szCs w:val="24"/>
        </w:rPr>
        <w:t xml:space="preserve">Password Change</w:t>
      </w:r>
    </w:p>
    <w:p>
      <w:pPr>
        <w:spacing w:after="120" w:before="120" w:line="276" w:lineRule="auto"/>
        <w:jc w:val="left"/>
      </w:pPr>
      <w:r>
        <w:rPr>
          <w:rFonts w:ascii="Arial" w:cs="Arial" w:eastAsia="Arial" w:hAnsi="Arial"/>
          <w:b w:val="false"/>
          <w:bCs w:val="false"/>
          <w:i w:val="false"/>
          <w:iCs w:val="false"/>
          <w:color w:val="1A1A1A"/>
          <w:sz w:val="24"/>
          <w:szCs w:val="24"/>
        </w:rPr>
        <w:t xml:space="preserve">On an annual basis, employees are required to review the Password Management system to verify if any passwords are weak or compromised and change passwords, if applicable.</w:t>
      </w:r>
    </w:p>
    <w:p>
      <w:pPr>
        <w:spacing w:after="100" w:before="220" w:line="276" w:lineRule="auto"/>
      </w:pPr>
      <w:r>
        <w:rPr>
          <w:rFonts w:ascii="Arial" w:cs="Arial" w:eastAsia="Arial" w:hAnsi="Arial"/>
          <w:b/>
          <w:bCs/>
          <w:color w:val="1A1A1A"/>
          <w:sz w:val="24"/>
          <w:szCs w:val="24"/>
        </w:rPr>
        <w:t xml:space="preserve">Password Protection</w:t>
      </w:r>
    </w:p>
    <w:p>
      <w:pPr>
        <w:spacing w:after="60" w:before="60" w:line="276" w:lineRule="auto"/>
        <w:ind w:left="360"/>
      </w:pPr>
      <w:r>
        <w:rPr>
          <w:rFonts w:ascii="Arial" w:cs="Arial" w:eastAsia="Arial" w:hAnsi="Arial"/>
          <w:b w:val="false"/>
          <w:bCs w:val="false"/>
          <w:color w:val="1A1A1A"/>
          <w:sz w:val="24"/>
          <w:szCs w:val="24"/>
        </w:rPr>
        <w:t xml:space="preserve">•  Passwords must not be shared with anyone. All passwords are to be treated as sensitive, highly confidential BWP information.</w:t>
      </w:r>
    </w:p>
    <w:p>
      <w:pPr>
        <w:spacing w:after="60" w:before="60" w:line="276" w:lineRule="auto"/>
        <w:ind w:left="360"/>
      </w:pPr>
      <w:r>
        <w:rPr>
          <w:rFonts w:ascii="Arial" w:cs="Arial" w:eastAsia="Arial" w:hAnsi="Arial"/>
          <w:b w:val="false"/>
          <w:bCs w:val="false"/>
          <w:color w:val="1A1A1A"/>
          <w:sz w:val="24"/>
          <w:szCs w:val="24"/>
        </w:rPr>
        <w:t xml:space="preserve">•  Passwords must not be inserted into email messages or other forms of electronic communication.</w:t>
      </w:r>
    </w:p>
    <w:p>
      <w:pPr>
        <w:spacing w:after="60" w:before="60" w:line="276" w:lineRule="auto"/>
        <w:ind w:left="360"/>
      </w:pPr>
      <w:r>
        <w:rPr>
          <w:rFonts w:ascii="Arial" w:cs="Arial" w:eastAsia="Arial" w:hAnsi="Arial"/>
          <w:b w:val="false"/>
          <w:bCs w:val="false"/>
          <w:color w:val="1A1A1A"/>
          <w:sz w:val="24"/>
          <w:szCs w:val="24"/>
        </w:rPr>
        <w:t xml:space="preserve">•  Passwords must not be revealed over the phone to anyone.</w:t>
      </w:r>
    </w:p>
    <w:p>
      <w:pPr>
        <w:spacing w:after="60" w:before="60" w:line="276" w:lineRule="auto"/>
        <w:ind w:left="360"/>
      </w:pPr>
      <w:r>
        <w:rPr>
          <w:rFonts w:ascii="Arial" w:cs="Arial" w:eastAsia="Arial" w:hAnsi="Arial"/>
          <w:b w:val="false"/>
          <w:bCs w:val="false"/>
          <w:color w:val="1A1A1A"/>
          <w:sz w:val="24"/>
          <w:szCs w:val="24"/>
        </w:rPr>
        <w:t xml:space="preserve">•  Do not reveal a password on questionnaires or security forms.</w:t>
      </w:r>
    </w:p>
    <w:p>
      <w:pPr>
        <w:spacing w:after="60" w:before="60" w:line="276" w:lineRule="auto"/>
        <w:ind w:left="360"/>
      </w:pPr>
      <w:r>
        <w:rPr>
          <w:rFonts w:ascii="Arial" w:cs="Arial" w:eastAsia="Arial" w:hAnsi="Arial"/>
          <w:b w:val="false"/>
          <w:bCs w:val="false"/>
          <w:color w:val="1A1A1A"/>
          <w:sz w:val="24"/>
          <w:szCs w:val="24"/>
        </w:rPr>
        <w:t xml:space="preserve">•  Do not hint at the format of a password (for example, “my family name”).</w:t>
      </w:r>
    </w:p>
    <w:p>
      <w:pPr>
        <w:spacing w:after="60" w:before="60" w:line="276" w:lineRule="auto"/>
        <w:ind w:left="360"/>
      </w:pPr>
      <w:r>
        <w:rPr>
          <w:rFonts w:ascii="Arial" w:cs="Arial" w:eastAsia="Arial" w:hAnsi="Arial"/>
          <w:b w:val="false"/>
          <w:bCs w:val="false"/>
          <w:color w:val="1A1A1A"/>
          <w:sz w:val="24"/>
          <w:szCs w:val="24"/>
        </w:rPr>
        <w:t xml:space="preserve">•  Do not share BWP passwords with anyone, including administrative assistants, managers, co-workers while on vacation, and family members.</w:t>
      </w:r>
    </w:p>
    <w:p>
      <w:pPr>
        <w:spacing w:after="60" w:before="60" w:line="276" w:lineRule="auto"/>
        <w:ind w:left="360"/>
      </w:pPr>
      <w:r>
        <w:rPr>
          <w:rFonts w:ascii="Arial" w:cs="Arial" w:eastAsia="Arial" w:hAnsi="Arial"/>
          <w:b w:val="false"/>
          <w:bCs w:val="false"/>
          <w:color w:val="1A1A1A"/>
          <w:sz w:val="24"/>
          <w:szCs w:val="24"/>
        </w:rPr>
        <w:t xml:space="preserve">•  Do not write passwords down and store them anywhere in your office. Do not store passwords in a file on a computer system or mobile devices (phone, tablet) without encryption.</w:t>
      </w:r>
    </w:p>
    <w:p>
      <w:pPr>
        <w:spacing w:after="60" w:before="60" w:line="276" w:lineRule="auto"/>
        <w:ind w:left="360"/>
      </w:pPr>
      <w:r>
        <w:rPr>
          <w:rFonts w:ascii="Arial" w:cs="Arial" w:eastAsia="Arial" w:hAnsi="Arial"/>
          <w:b w:val="false"/>
          <w:bCs w:val="false"/>
          <w:color w:val="1A1A1A"/>
          <w:sz w:val="24"/>
          <w:szCs w:val="24"/>
        </w:rPr>
        <w:t xml:space="preserve">•  Do not use the “Remember Password” feature of applications (for example, web browsers).</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Data on the Move</w:t>
      </w:r>
    </w:p>
    <w:p>
      <w:pPr>
        <w:keepNext/>
        <w:keepLines/>
        <w:spacing w:after="120" w:before="280" w:line="276" w:lineRule="auto"/>
      </w:pPr>
      <w:r>
        <w:rPr>
          <w:rFonts w:ascii="Arial" w:cs="Arial" w:eastAsia="Arial" w:hAnsi="Arial"/>
          <w:b/>
          <w:bCs/>
          <w:color w:val="2E6B9E"/>
          <w:sz w:val="28"/>
          <w:szCs w:val="28"/>
        </w:rPr>
        <w:t xml:space="preserve">Email Usage Policy</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Electronic email is pervasively used and is often the primary communication and awareness method within an organization. At the same time, misuse of email can pose many legal, privacy and security risks, thus it’s important for employees to understand the appropriate use of electronic communications.</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This policy covers appropriate use of any email sent from a BWP email address and applies to all employees and agents operating on behalf of BWP.</w:t>
      </w:r>
    </w:p>
    <w:p>
      <w:pPr>
        <w:spacing w:after="60" w:before="60" w:line="276" w:lineRule="auto"/>
        <w:ind w:left="360"/>
      </w:pPr>
      <w:r>
        <w:rPr>
          <w:rFonts w:ascii="Arial" w:cs="Arial" w:eastAsia="Arial" w:hAnsi="Arial"/>
          <w:b w:val="false"/>
          <w:bCs w:val="false"/>
          <w:color w:val="1A1A1A"/>
          <w:sz w:val="24"/>
          <w:szCs w:val="24"/>
        </w:rPr>
        <w:t xml:space="preserve">•  All use of email must be consistent with BWP policies and procedures of ethical conduct, safety, compliance with applicable laws and proper business practices.</w:t>
      </w:r>
    </w:p>
    <w:p>
      <w:pPr>
        <w:spacing w:after="60" w:before="60" w:line="276" w:lineRule="auto"/>
        <w:ind w:left="360"/>
      </w:pPr>
      <w:r>
        <w:rPr>
          <w:rFonts w:ascii="Arial" w:cs="Arial" w:eastAsia="Arial" w:hAnsi="Arial"/>
          <w:b w:val="false"/>
          <w:bCs w:val="false"/>
          <w:color w:val="1A1A1A"/>
          <w:sz w:val="24"/>
          <w:szCs w:val="24"/>
        </w:rPr>
        <w:t xml:space="preserve">•  BWP email accounts should be used primarily for BWP business-related purposes; personal communication is permitted on a limited basis, but non-BWP related commercial uses are prohibited.</w:t>
      </w:r>
    </w:p>
    <w:p>
      <w:pPr>
        <w:spacing w:after="60" w:before="60" w:line="276" w:lineRule="auto"/>
        <w:ind w:left="360"/>
      </w:pPr>
      <w:r>
        <w:rPr>
          <w:rFonts w:ascii="Arial" w:cs="Arial" w:eastAsia="Arial" w:hAnsi="Arial"/>
          <w:b w:val="false"/>
          <w:bCs w:val="false"/>
          <w:color w:val="1A1A1A"/>
          <w:sz w:val="24"/>
          <w:szCs w:val="24"/>
        </w:rPr>
        <w:t xml:space="preserve">•  Email that is identified as a BWP business record shall be archived and monitored by BWP.</w:t>
      </w:r>
    </w:p>
    <w:p>
      <w:pPr>
        <w:spacing w:after="60" w:before="60" w:line="276" w:lineRule="auto"/>
        <w:ind w:left="360"/>
      </w:pPr>
      <w:r>
        <w:rPr>
          <w:rFonts w:ascii="Arial" w:cs="Arial" w:eastAsia="Arial" w:hAnsi="Arial"/>
          <w:b w:val="false"/>
          <w:bCs w:val="false"/>
          <w:color w:val="1A1A1A"/>
          <w:sz w:val="24"/>
          <w:szCs w:val="24"/>
        </w:rPr>
        <w:t xml:space="preserve">•  Users are prohibited from automatically forwarding BWP email to an unapproved third-party email system. Individual messages which are forwarded by the user must not contain BWP “Sensitive” or above information.</w:t>
      </w:r>
    </w:p>
    <w:p>
      <w:pPr>
        <w:spacing w:after="60" w:before="60" w:line="276" w:lineRule="auto"/>
        <w:ind w:left="360"/>
      </w:pPr>
      <w:r>
        <w:rPr>
          <w:rFonts w:ascii="Arial" w:cs="Arial" w:eastAsia="Arial" w:hAnsi="Arial"/>
          <w:b w:val="false"/>
          <w:bCs w:val="false"/>
          <w:color w:val="1A1A1A"/>
          <w:sz w:val="24"/>
          <w:szCs w:val="24"/>
        </w:rPr>
        <w:t xml:space="preserve">•  BWP employees shall have no expectation of privacy in anything they store, send or receive on the BWP’s email system. BWP monitors messages without prior notice.</w:t>
      </w:r>
    </w:p>
    <w:p>
      <w:pPr>
        <w:spacing w:after="100" w:before="220" w:line="276" w:lineRule="auto"/>
      </w:pPr>
      <w:r>
        <w:rPr>
          <w:rFonts w:ascii="Arial" w:cs="Arial" w:eastAsia="Arial" w:hAnsi="Arial"/>
          <w:b/>
          <w:bCs/>
          <w:color w:val="1A1A1A"/>
          <w:sz w:val="24"/>
          <w:szCs w:val="24"/>
        </w:rPr>
        <w:t xml:space="preserve">Protection of Sensitive Information Sent via Email</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In recent years, Regulators have enacted privacy laws concerning the use, storage, transmission and handling of personal information. In response, BWP has instituted this policy regarding the proper method by which to transmit personal information via email. In general, we should avoid sending personal information via email. However, where necessary to do so, the following procedure is to be followed.</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Any Personally Identifiable Information that is traveling across “public networks” or that is transmitted wirelessly must be encrypted.</w:t>
      </w:r>
    </w:p>
    <w:p>
      <w:pPr>
        <w:pBdr>
          <w:top w:val="single" w:color="2E6B9E" w:sz="2" w:space="4"/>
          <w:bottom w:val="single" w:color="2E6B9E" w:sz="2" w:space="4"/>
          <w:left w:val="single" w:color="1B3A5C" w:sz="8" w:space="8"/>
        </w:pBdr>
        <w:spacing w:after="120" w:before="120" w:line="276" w:lineRule="auto"/>
        <w:ind w:left="360" w:right="360"/>
      </w:pPr>
      <w:r>
        <w:rPr>
          <w:rFonts w:ascii="Arial" w:cs="Arial" w:eastAsia="Arial" w:hAnsi="Arial"/>
          <w:i/>
          <w:iCs/>
          <w:color w:val="1A1A1A"/>
          <w:sz w:val="24"/>
          <w:szCs w:val="24"/>
        </w:rPr>
        <w:t xml:space="preserve">NOTE: Emails sent internally between employees do not travel across public networks, so these do not require encryption.</w:t>
      </w:r>
    </w:p>
    <w:p>
      <w:pPr>
        <w:spacing w:after="120" w:before="120" w:line="276" w:lineRule="auto"/>
        <w:jc w:val="left"/>
      </w:pPr>
      <w:r>
        <w:rPr>
          <w:rFonts w:ascii="Arial" w:cs="Arial" w:eastAsia="Arial" w:hAnsi="Arial"/>
          <w:b w:val="false"/>
          <w:bCs w:val="false"/>
          <w:i w:val="false"/>
          <w:iCs w:val="false"/>
          <w:color w:val="1A1A1A"/>
          <w:sz w:val="24"/>
          <w:szCs w:val="24"/>
        </w:rPr>
        <w:t xml:space="preserve">Prior to sending an email to an outside party, the sender must determine whether the email includes Highly Confidential Personally Identifiable Information and therefore requires encryption.</w:t>
      </w:r>
    </w:p>
    <w:p>
      <w:pPr>
        <w:spacing w:after="100" w:before="220" w:line="276" w:lineRule="auto"/>
      </w:pPr>
      <w:r>
        <w:rPr>
          <w:rFonts w:ascii="Arial" w:cs="Arial" w:eastAsia="Arial" w:hAnsi="Arial"/>
          <w:b/>
          <w:bCs/>
          <w:color w:val="1A1A1A"/>
          <w:sz w:val="24"/>
          <w:szCs w:val="24"/>
        </w:rPr>
        <w:t xml:space="preserve">Procedure</w:t>
      </w:r>
    </w:p>
    <w:p>
      <w:pPr>
        <w:spacing w:after="60" w:before="60" w:line="276" w:lineRule="auto"/>
        <w:ind w:left="360"/>
      </w:pPr>
      <w:r>
        <w:rPr>
          <w:rFonts w:ascii="Arial" w:cs="Arial" w:eastAsia="Arial" w:hAnsi="Arial"/>
          <w:b w:val="false"/>
          <w:bCs w:val="false"/>
          <w:color w:val="1A1A1A"/>
          <w:sz w:val="24"/>
          <w:szCs w:val="24"/>
        </w:rPr>
        <w:t xml:space="preserve">•  If the email contains Personally Identifiable Information, then it must be encrypted using an approved encryption vendor, redacted to remove the personal information, or sent via a secure client portal.</w:t>
      </w:r>
    </w:p>
    <w:p>
      <w:pPr>
        <w:spacing w:after="60" w:before="60" w:line="276" w:lineRule="auto"/>
        <w:ind w:left="360"/>
      </w:pPr>
      <w:r>
        <w:rPr>
          <w:rFonts w:ascii="Arial" w:cs="Arial" w:eastAsia="Arial" w:hAnsi="Arial"/>
          <w:b w:val="false"/>
          <w:bCs w:val="false"/>
          <w:color w:val="1A1A1A"/>
          <w:sz w:val="24"/>
          <w:szCs w:val="24"/>
        </w:rPr>
        <w:t xml:space="preserve">•  All staff should never open or download any email attachments from unknown senders or from known senders that look suspicious or out of the ordinary.</w:t>
      </w:r>
    </w:p>
    <w:p>
      <w:pPr>
        <w:spacing w:after="60" w:before="60" w:line="276" w:lineRule="auto"/>
        <w:ind w:left="360"/>
      </w:pPr>
      <w:r>
        <w:rPr>
          <w:rFonts w:ascii="Arial" w:cs="Arial" w:eastAsia="Arial" w:hAnsi="Arial"/>
          <w:b w:val="false"/>
          <w:bCs w:val="false"/>
          <w:color w:val="1A1A1A"/>
          <w:sz w:val="24"/>
          <w:szCs w:val="24"/>
        </w:rPr>
        <w:t xml:space="preserve">•  All staff should be acutely aware of any attempted “phishing” emails seeking to obtain the staff member’s user login credentials. Some warning signs to look for include:</w:t>
      </w:r>
    </w:p>
    <w:p>
      <w:pPr>
        <w:spacing w:after="40" w:before="40" w:line="276" w:lineRule="auto"/>
        <w:ind w:left="720"/>
      </w:pPr>
      <w:r>
        <w:rPr>
          <w:rFonts w:ascii="Arial" w:cs="Arial" w:eastAsia="Arial" w:hAnsi="Arial"/>
          <w:color w:val="1A1A1A"/>
          <w:sz w:val="24"/>
          <w:szCs w:val="24"/>
        </w:rPr>
        <w:t xml:space="preserve">◦  Bad spelling or poor grammar in the email subject or body text;</w:t>
      </w:r>
    </w:p>
    <w:p>
      <w:pPr>
        <w:spacing w:after="40" w:before="40" w:line="276" w:lineRule="auto"/>
        <w:ind w:left="720"/>
      </w:pPr>
      <w:r>
        <w:rPr>
          <w:rFonts w:ascii="Arial" w:cs="Arial" w:eastAsia="Arial" w:hAnsi="Arial"/>
          <w:color w:val="1A1A1A"/>
          <w:sz w:val="24"/>
          <w:szCs w:val="24"/>
        </w:rPr>
        <w:t xml:space="preserve">◦  A company or website with which the staff member is not familiar; and</w:t>
      </w:r>
    </w:p>
    <w:p>
      <w:pPr>
        <w:spacing w:after="40" w:before="40" w:line="276" w:lineRule="auto"/>
        <w:ind w:left="720"/>
      </w:pPr>
      <w:r>
        <w:rPr>
          <w:rFonts w:ascii="Arial" w:cs="Arial" w:eastAsia="Arial" w:hAnsi="Arial"/>
          <w:color w:val="1A1A1A"/>
          <w:sz w:val="24"/>
          <w:szCs w:val="24"/>
        </w:rPr>
        <w:t xml:space="preserve">◦  A suspicious sender email domain.</w:t>
      </w:r>
    </w:p>
    <w:p>
      <w:pPr>
        <w:spacing w:after="60" w:before="60" w:line="276" w:lineRule="auto"/>
        <w:ind w:left="360"/>
      </w:pPr>
      <w:r>
        <w:rPr>
          <w:rFonts w:ascii="Arial" w:cs="Arial" w:eastAsia="Arial" w:hAnsi="Arial"/>
          <w:b w:val="false"/>
          <w:bCs w:val="false"/>
          <w:color w:val="1A1A1A"/>
          <w:sz w:val="24"/>
          <w:szCs w:val="24"/>
        </w:rPr>
        <w:t xml:space="preserve">•  When a staff member receives a suspicious email, the CCO should be immediately alerted.</w:t>
      </w:r>
    </w:p>
    <w:p>
      <w:pPr>
        <w:keepNext/>
        <w:keepLines/>
        <w:spacing w:after="120" w:before="280" w:line="276" w:lineRule="auto"/>
      </w:pPr>
      <w:r>
        <w:rPr>
          <w:rFonts w:ascii="Arial" w:cs="Arial" w:eastAsia="Arial" w:hAnsi="Arial"/>
          <w:b/>
          <w:bCs/>
          <w:color w:val="2E6B9E"/>
          <w:sz w:val="28"/>
          <w:szCs w:val="28"/>
        </w:rPr>
        <w:t xml:space="preserve">Mobile Computing</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In order to have access to BWP or client data, the following safeguards must be implemented on mobile devices, such as smartphones and tablets:</w:t>
      </w:r>
    </w:p>
    <w:p>
      <w:pPr>
        <w:spacing w:after="60" w:before="60" w:line="276" w:lineRule="auto"/>
        <w:ind w:left="360"/>
      </w:pPr>
      <w:r>
        <w:rPr>
          <w:rFonts w:ascii="Arial" w:cs="Arial" w:eastAsia="Arial" w:hAnsi="Arial"/>
          <w:b w:val="false"/>
          <w:bCs w:val="false"/>
          <w:color w:val="1A1A1A"/>
          <w:sz w:val="24"/>
          <w:szCs w:val="24"/>
        </w:rPr>
        <w:t xml:space="preserve">•  Password Protection — Minimum 6-character alphanumeric PIN or password (or biometric equivalent). A 4-digit numeric-only PIN is not sufficient. All mobile devices accessing BWP or client data must be configured to require a 6-character alphanumeric passcode or a biometric unlock method (Face ID/fingerprint) in conjunction with a PIN no shorter than 6 characters.</w:t>
      </w:r>
    </w:p>
    <w:p>
      <w:pPr>
        <w:spacing w:after="60" w:before="60" w:line="276" w:lineRule="auto"/>
        <w:ind w:left="360"/>
      </w:pPr>
      <w:r>
        <w:rPr>
          <w:rFonts w:ascii="Arial" w:cs="Arial" w:eastAsia="Arial" w:hAnsi="Arial"/>
          <w:b w:val="false"/>
          <w:bCs w:val="false"/>
          <w:color w:val="1A1A1A"/>
          <w:sz w:val="24"/>
          <w:szCs w:val="24"/>
        </w:rPr>
        <w:t xml:space="preserve">•  Encryption – If non-public client information is saved on mobile devices it must be encrypted.</w:t>
      </w:r>
    </w:p>
    <w:p>
      <w:pPr>
        <w:spacing w:after="60" w:before="60" w:line="276" w:lineRule="auto"/>
        <w:ind w:left="360"/>
      </w:pPr>
      <w:r>
        <w:rPr>
          <w:rFonts w:ascii="Arial" w:cs="Arial" w:eastAsia="Arial" w:hAnsi="Arial"/>
          <w:b w:val="false"/>
          <w:bCs w:val="false"/>
          <w:color w:val="1A1A1A"/>
          <w:sz w:val="24"/>
          <w:szCs w:val="24"/>
        </w:rPr>
        <w:t xml:space="preserve">•  Remote Locate and Wipe — Have the ability to remotely locate and wipe the device if it is lost. There are apps such as Android Device Manager, Avast or FindMyPhone that allow users to remotely wipe a device if it is lost. This is the final measure of protection mandated by our procedures.</w:t>
      </w:r>
    </w:p>
    <w:p>
      <w:pPr>
        <w:keepNext/>
        <w:keepLines/>
        <w:spacing w:after="120" w:before="280" w:line="276" w:lineRule="auto"/>
      </w:pPr>
      <w:r>
        <w:rPr>
          <w:rFonts w:ascii="Arial" w:cs="Arial" w:eastAsia="Arial" w:hAnsi="Arial"/>
          <w:b/>
          <w:bCs/>
          <w:color w:val="2E6B9E"/>
          <w:sz w:val="28"/>
          <w:szCs w:val="28"/>
        </w:rPr>
        <w:t xml:space="preserve">Public Wi-Fi</w:t>
      </w:r>
    </w:p>
    <w:p>
      <w:pPr>
        <w:spacing w:after="120" w:before="120" w:line="276" w:lineRule="auto"/>
        <w:jc w:val="left"/>
      </w:pPr>
      <w:r>
        <w:rPr>
          <w:rFonts w:ascii="Arial" w:cs="Arial" w:eastAsia="Arial" w:hAnsi="Arial"/>
          <w:b w:val="false"/>
          <w:bCs w:val="false"/>
          <w:i w:val="false"/>
          <w:iCs w:val="false"/>
          <w:color w:val="1A1A1A"/>
          <w:sz w:val="24"/>
          <w:szCs w:val="24"/>
        </w:rPr>
        <w:t xml:space="preserve">Public Wi-Fi, such as free wireless at airports, hotels, and businesses, is inherently dangerous and should be avoided if possible. It is required to use Buckeye Wealth Partners’ Virtual Private Network (VPN) if you must use a public Wi-Fi access point.</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Encryption Standards</w:t>
      </w:r>
    </w:p>
    <w:p>
      <w:pPr>
        <w:keepNext/>
        <w:keepLines/>
        <w:spacing w:after="120" w:before="280" w:line="276" w:lineRule="auto"/>
      </w:pPr>
      <w:r>
        <w:rPr>
          <w:rFonts w:ascii="Arial" w:cs="Arial" w:eastAsia="Arial" w:hAnsi="Arial"/>
          <w:b/>
          <w:bCs/>
          <w:color w:val="2E6B9E"/>
          <w:sz w:val="28"/>
          <w:szCs w:val="28"/>
        </w:rPr>
        <w:t xml:space="preserve">Encryption in Transit</w:t>
      </w:r>
    </w:p>
    <w:p>
      <w:pPr>
        <w:spacing w:after="120" w:before="120" w:line="276" w:lineRule="auto"/>
        <w:jc w:val="left"/>
      </w:pPr>
      <w:r>
        <w:rPr>
          <w:rFonts w:ascii="Arial" w:cs="Arial" w:eastAsia="Arial" w:hAnsi="Arial"/>
          <w:b w:val="false"/>
          <w:bCs w:val="false"/>
          <w:i w:val="false"/>
          <w:iCs w:val="false"/>
          <w:color w:val="1A1A1A"/>
          <w:sz w:val="24"/>
          <w:szCs w:val="24"/>
        </w:rPr>
        <w:t xml:space="preserve">Any Personally Identifiable Information that is traveling across public networks or that is transmitted wirelessly must be encrypted using an industry-standard encryption protocol. This requirement applies to all email, file transfers, and data transmissions involving client NPPI.</w:t>
      </w:r>
    </w:p>
    <w:p>
      <w:pPr>
        <w:keepNext/>
        <w:keepLines/>
        <w:spacing w:after="120" w:before="280" w:line="276" w:lineRule="auto"/>
      </w:pPr>
      <w:r>
        <w:rPr>
          <w:rFonts w:ascii="Arial" w:cs="Arial" w:eastAsia="Arial" w:hAnsi="Arial"/>
          <w:b/>
          <w:bCs/>
          <w:color w:val="2E6B9E"/>
          <w:sz w:val="28"/>
          <w:szCs w:val="28"/>
        </w:rPr>
        <w:t xml:space="preserve">Encryption at Rest</w:t>
      </w:r>
    </w:p>
    <w:p>
      <w:pPr>
        <w:spacing w:after="120" w:before="120" w:line="276" w:lineRule="auto"/>
        <w:jc w:val="left"/>
      </w:pPr>
      <w:r>
        <w:rPr>
          <w:rFonts w:ascii="Arial" w:cs="Arial" w:eastAsia="Arial" w:hAnsi="Arial"/>
          <w:b w:val="false"/>
          <w:bCs w:val="false"/>
          <w:i w:val="false"/>
          <w:iCs w:val="false"/>
          <w:color w:val="1A1A1A"/>
          <w:sz w:val="24"/>
          <w:szCs w:val="24"/>
        </w:rPr>
        <w:t xml:space="preserve">All firm-owned computers, cloud storage repositories (OneDrive, SharePoint), and backup media shall employ encryption at rest using AES-256 or equivalent standard. Full-disk encryption shall be enabled on all firm laptops and workstations. The CCO is responsible for verifying that disk encryption is enabled on all firm devices during onboarding of new devices and during annual equipment reviews.</w:t>
      </w:r>
    </w:p>
    <w:p>
      <w:pPr>
        <w:spacing w:after="120" w:before="120" w:line="276" w:lineRule="auto"/>
        <w:jc w:val="left"/>
      </w:pPr>
      <w:r>
        <w:rPr>
          <w:rFonts w:ascii="Arial" w:cs="Arial" w:eastAsia="Arial" w:hAnsi="Arial"/>
          <w:b w:val="false"/>
          <w:bCs w:val="false"/>
          <w:i w:val="false"/>
          <w:iCs w:val="false"/>
          <w:color w:val="1A1A1A"/>
          <w:sz w:val="24"/>
          <w:szCs w:val="24"/>
        </w:rPr>
        <w:t xml:space="preserve">Cloud storage: All client data stored in OneDrive or SharePoint shall be subject to Microsoft 365’s native AES-256 encryption at rest. Employees must not store client NPPI in unencrypted personal cloud storage services (e.g., personal Google Drive, Dropbox without enterprise controls).</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Client Assets</w:t>
      </w:r>
    </w:p>
    <w:p>
      <w:pPr>
        <w:keepNext/>
        <w:keepLines/>
        <w:spacing w:after="120" w:before="280" w:line="276" w:lineRule="auto"/>
      </w:pPr>
      <w:r>
        <w:rPr>
          <w:rFonts w:ascii="Arial" w:cs="Arial" w:eastAsia="Arial" w:hAnsi="Arial"/>
          <w:b/>
          <w:bCs/>
          <w:color w:val="2E6B9E"/>
          <w:sz w:val="28"/>
          <w:szCs w:val="28"/>
        </w:rPr>
        <w:t xml:space="preserve">Safeguarding</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It is the duty of BWP and all employees to safeguard clients’ assets at all times and monitor activity for potential fraudulent and unauthorized access by non-account holders.</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BWP does not act as a qualified custodian for any clients and does not have actual custody of any client cash or securities. BWP will only use the custodial services of qualified custodians, as defined by the Securities and Exchange Commission.</w:t>
      </w:r>
    </w:p>
    <w:p>
      <w:pPr>
        <w:spacing w:after="100" w:before="220" w:line="276" w:lineRule="auto"/>
      </w:pPr>
      <w:r>
        <w:rPr>
          <w:rFonts w:ascii="Arial" w:cs="Arial" w:eastAsia="Arial" w:hAnsi="Arial"/>
          <w:b/>
          <w:bCs/>
          <w:color w:val="1A1A1A"/>
          <w:sz w:val="24"/>
          <w:szCs w:val="24"/>
        </w:rPr>
        <w:t xml:space="preserve">Procedures</w:t>
      </w:r>
    </w:p>
    <w:p>
      <w:pPr>
        <w:spacing w:after="120" w:before="120" w:line="276" w:lineRule="auto"/>
        <w:jc w:val="left"/>
      </w:pPr>
      <w:r>
        <w:rPr>
          <w:rFonts w:ascii="Arial" w:cs="Arial" w:eastAsia="Arial" w:hAnsi="Arial"/>
          <w:b w:val="false"/>
          <w:bCs w:val="false"/>
          <w:i w:val="false"/>
          <w:iCs w:val="false"/>
          <w:color w:val="1A1A1A"/>
          <w:sz w:val="24"/>
          <w:szCs w:val="24"/>
        </w:rPr>
        <w:t xml:space="preserve">In regard to specific client account activities, at any point in time if there is an unannounced transfer of assets out of a client’s account, an immediate investigation will be conducted to ensure the client is aware of the transfer and has initiated the transfer themselves.</w:t>
      </w:r>
    </w:p>
    <w:p>
      <w:pPr>
        <w:spacing w:after="120" w:before="120" w:line="276" w:lineRule="auto"/>
        <w:jc w:val="left"/>
      </w:pPr>
      <w:r>
        <w:rPr>
          <w:rFonts w:ascii="Arial" w:cs="Arial" w:eastAsia="Arial" w:hAnsi="Arial"/>
          <w:b w:val="false"/>
          <w:bCs w:val="false"/>
          <w:i w:val="false"/>
          <w:iCs w:val="false"/>
          <w:color w:val="1A1A1A"/>
          <w:sz w:val="24"/>
          <w:szCs w:val="24"/>
        </w:rPr>
        <w:t xml:space="preserve">A record of the investigation will be kept in the Asset Safety Log detailing:</w:t>
      </w:r>
    </w:p>
    <w:p>
      <w:pPr>
        <w:spacing w:after="60" w:before="60" w:line="276" w:lineRule="auto"/>
        <w:ind w:left="360"/>
      </w:pPr>
      <w:r>
        <w:rPr>
          <w:rFonts w:ascii="Arial" w:cs="Arial" w:eastAsia="Arial" w:hAnsi="Arial"/>
          <w:b w:val="false"/>
          <w:bCs w:val="false"/>
          <w:color w:val="1A1A1A"/>
          <w:sz w:val="24"/>
          <w:szCs w:val="24"/>
        </w:rPr>
        <w:t xml:space="preserve">•  The unauthorized event that occurred;</w:t>
      </w:r>
    </w:p>
    <w:p>
      <w:pPr>
        <w:spacing w:after="60" w:before="60" w:line="276" w:lineRule="auto"/>
        <w:ind w:left="360"/>
      </w:pPr>
      <w:r>
        <w:rPr>
          <w:rFonts w:ascii="Arial" w:cs="Arial" w:eastAsia="Arial" w:hAnsi="Arial"/>
          <w:b w:val="false"/>
          <w:bCs w:val="false"/>
          <w:color w:val="1A1A1A"/>
          <w:sz w:val="24"/>
          <w:szCs w:val="24"/>
        </w:rPr>
        <w:t xml:space="preserve">•  The investigation that was conducted;</w:t>
      </w:r>
    </w:p>
    <w:p>
      <w:pPr>
        <w:spacing w:after="60" w:before="60" w:line="276" w:lineRule="auto"/>
        <w:ind w:left="360"/>
      </w:pPr>
      <w:r>
        <w:rPr>
          <w:rFonts w:ascii="Arial" w:cs="Arial" w:eastAsia="Arial" w:hAnsi="Arial"/>
          <w:b w:val="false"/>
          <w:bCs w:val="false"/>
          <w:color w:val="1A1A1A"/>
          <w:sz w:val="24"/>
          <w:szCs w:val="24"/>
        </w:rPr>
        <w:t xml:space="preserve">•  Who conducted the investigation;</w:t>
      </w:r>
    </w:p>
    <w:p>
      <w:pPr>
        <w:spacing w:after="60" w:before="60" w:line="276" w:lineRule="auto"/>
        <w:ind w:left="360"/>
      </w:pPr>
      <w:r>
        <w:rPr>
          <w:rFonts w:ascii="Arial" w:cs="Arial" w:eastAsia="Arial" w:hAnsi="Arial"/>
          <w:b w:val="false"/>
          <w:bCs w:val="false"/>
          <w:color w:val="1A1A1A"/>
          <w:sz w:val="24"/>
          <w:szCs w:val="24"/>
        </w:rPr>
        <w:t xml:space="preserve">•  Whether the activity was approved by the client;</w:t>
      </w:r>
    </w:p>
    <w:p>
      <w:pPr>
        <w:spacing w:after="60" w:before="60" w:line="276" w:lineRule="auto"/>
        <w:ind w:left="360"/>
      </w:pPr>
      <w:r>
        <w:rPr>
          <w:rFonts w:ascii="Arial" w:cs="Arial" w:eastAsia="Arial" w:hAnsi="Arial"/>
          <w:b w:val="false"/>
          <w:bCs w:val="false"/>
          <w:color w:val="1A1A1A"/>
          <w:sz w:val="24"/>
          <w:szCs w:val="24"/>
        </w:rPr>
        <w:t xml:space="preserve">•  The date the investigation was completed; and</w:t>
      </w:r>
    </w:p>
    <w:p>
      <w:pPr>
        <w:spacing w:after="60" w:before="60" w:line="276" w:lineRule="auto"/>
        <w:ind w:left="360"/>
      </w:pPr>
      <w:r>
        <w:rPr>
          <w:rFonts w:ascii="Arial" w:cs="Arial" w:eastAsia="Arial" w:hAnsi="Arial"/>
          <w:b w:val="false"/>
          <w:bCs w:val="false"/>
          <w:color w:val="1A1A1A"/>
          <w:sz w:val="24"/>
          <w:szCs w:val="24"/>
        </w:rPr>
        <w:t xml:space="preserve">•  Notes on the outcome of the investigation.</w:t>
      </w:r>
    </w:p>
    <w:p>
      <w:pPr>
        <w:spacing w:after="120" w:before="120" w:line="276" w:lineRule="auto"/>
        <w:jc w:val="left"/>
      </w:pPr>
      <w:r>
        <w:rPr>
          <w:rFonts w:ascii="Arial" w:cs="Arial" w:eastAsia="Arial" w:hAnsi="Arial"/>
          <w:b w:val="false"/>
          <w:bCs w:val="false"/>
          <w:i w:val="false"/>
          <w:iCs w:val="false"/>
          <w:color w:val="1A1A1A"/>
          <w:sz w:val="24"/>
          <w:szCs w:val="24"/>
        </w:rPr>
        <w:t xml:space="preserve">If any unauthorized activities occur in a client account, the CCO must be notified immediately. As needed, the Asset Safety Log is maintained by the CCO.</w:t>
      </w:r>
    </w:p>
    <w:p>
      <w:pPr>
        <w:keepNext/>
        <w:keepLines/>
        <w:spacing w:after="120" w:before="280" w:line="276" w:lineRule="auto"/>
      </w:pPr>
      <w:r>
        <w:rPr>
          <w:rFonts w:ascii="Arial" w:cs="Arial" w:eastAsia="Arial" w:hAnsi="Arial"/>
          <w:b/>
          <w:bCs/>
          <w:color w:val="2E6B9E"/>
          <w:sz w:val="28"/>
          <w:szCs w:val="28"/>
        </w:rPr>
        <w:t xml:space="preserve">Prevention of Unauthorized Funds Transfer</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In a typical scenario, the identity thief will send an email to a financial institution, brokerage firm employee, or the victim’s financial advisor pretending to be the victim and request the balance of the victim’s account. When the request for balance information is successful, the identity thief then sends another email providing a reason why they can only communicate via email and asks that a wire transfer be initiated on their behalf.</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BWP has implemented the following firm-wide information security policies to help prevent unauthorized funds transfers:</w:t>
      </w:r>
    </w:p>
    <w:p>
      <w:pPr>
        <w:spacing w:after="60" w:before="60" w:line="276" w:lineRule="auto"/>
        <w:ind w:left="360"/>
      </w:pPr>
      <w:r>
        <w:rPr>
          <w:rFonts w:ascii="Arial" w:cs="Arial" w:eastAsia="Arial" w:hAnsi="Arial"/>
          <w:b w:val="false"/>
          <w:bCs w:val="false"/>
          <w:color w:val="1A1A1A"/>
          <w:sz w:val="24"/>
          <w:szCs w:val="24"/>
        </w:rPr>
        <w:t xml:space="preserve">•  Clients must confirm all third party wire requests verbally. Wire requests may not be authorized solely via email; and</w:t>
      </w:r>
    </w:p>
    <w:p>
      <w:pPr>
        <w:spacing w:after="60" w:before="60" w:line="276" w:lineRule="auto"/>
        <w:ind w:left="360"/>
      </w:pPr>
      <w:r>
        <w:rPr>
          <w:rFonts w:ascii="Arial" w:cs="Arial" w:eastAsia="Arial" w:hAnsi="Arial"/>
          <w:b w:val="false"/>
          <w:bCs w:val="false"/>
          <w:color w:val="1A1A1A"/>
          <w:sz w:val="24"/>
          <w:szCs w:val="24"/>
        </w:rPr>
        <w:t xml:space="preserve">•  Wire requests should be reviewed for suspicious behavior (e.g., time of request, atypical amount of request, etc.).</w:t>
      </w:r>
    </w:p>
    <w:p>
      <w:pPr>
        <w:spacing w:after="60" w:before="60" w:line="276" w:lineRule="auto"/>
        <w:ind w:left="360"/>
      </w:pPr>
      <w:r>
        <w:rPr>
          <w:rFonts w:ascii="Arial" w:cs="Arial" w:eastAsia="Arial" w:hAnsi="Arial"/>
          <w:b w:val="false"/>
          <w:bCs w:val="false"/>
          <w:color w:val="1A1A1A"/>
          <w:sz w:val="24"/>
          <w:szCs w:val="24"/>
        </w:rPr>
        <w:t xml:space="preserve">•  Staff members should be alert when receiving email messages from clients and look at the email address and header.</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Employees</w:t>
      </w:r>
    </w:p>
    <w:p>
      <w:pPr>
        <w:keepNext/>
        <w:keepLines/>
        <w:spacing w:after="120" w:before="280" w:line="276" w:lineRule="auto"/>
      </w:pPr>
      <w:r>
        <w:rPr>
          <w:rFonts w:ascii="Arial" w:cs="Arial" w:eastAsia="Arial" w:hAnsi="Arial"/>
          <w:b/>
          <w:bCs/>
          <w:color w:val="2E6B9E"/>
          <w:sz w:val="28"/>
          <w:szCs w:val="28"/>
        </w:rPr>
        <w:t xml:space="preserve">Employee Onboarding</w:t>
      </w:r>
    </w:p>
    <w:p>
      <w:pPr>
        <w:spacing w:after="120" w:before="120" w:line="276" w:lineRule="auto"/>
        <w:jc w:val="left"/>
      </w:pPr>
      <w:r>
        <w:rPr>
          <w:rFonts w:ascii="Arial" w:cs="Arial" w:eastAsia="Arial" w:hAnsi="Arial"/>
          <w:b w:val="false"/>
          <w:bCs w:val="false"/>
          <w:i w:val="false"/>
          <w:iCs w:val="false"/>
          <w:color w:val="1A1A1A"/>
          <w:sz w:val="24"/>
          <w:szCs w:val="24"/>
        </w:rPr>
        <w:t xml:space="preserve">BWP has implemented the following firm-wide user access privilege policies to help prevent unauthorized access to sensitive client data:</w:t>
      </w:r>
    </w:p>
    <w:p>
      <w:pPr>
        <w:spacing w:after="60" w:before="60" w:line="276" w:lineRule="auto"/>
        <w:ind w:left="360"/>
      </w:pPr>
      <w:r>
        <w:rPr>
          <w:rFonts w:ascii="Arial" w:cs="Arial" w:eastAsia="Arial" w:hAnsi="Arial"/>
          <w:b w:val="false"/>
          <w:bCs w:val="false"/>
          <w:color w:val="1A1A1A"/>
          <w:sz w:val="24"/>
          <w:szCs w:val="24"/>
        </w:rPr>
        <w:t xml:space="preserve">•  All new staff members’ login credentials will be created by the CCO;</w:t>
      </w:r>
    </w:p>
    <w:p>
      <w:pPr>
        <w:spacing w:after="60" w:before="60" w:line="276" w:lineRule="auto"/>
        <w:ind w:left="360"/>
      </w:pPr>
      <w:r>
        <w:rPr>
          <w:rFonts w:ascii="Arial" w:cs="Arial" w:eastAsia="Arial" w:hAnsi="Arial"/>
          <w:b w:val="false"/>
          <w:bCs w:val="false"/>
          <w:color w:val="1A1A1A"/>
          <w:sz w:val="24"/>
          <w:szCs w:val="24"/>
        </w:rPr>
        <w:t xml:space="preserve">•  Staff members will only have access to systems deemed necessary by the CCO;</w:t>
      </w:r>
    </w:p>
    <w:p>
      <w:pPr>
        <w:spacing w:after="60" w:before="60" w:line="276" w:lineRule="auto"/>
        <w:ind w:left="360"/>
      </w:pPr>
      <w:r>
        <w:rPr>
          <w:rFonts w:ascii="Arial" w:cs="Arial" w:eastAsia="Arial" w:hAnsi="Arial"/>
          <w:b w:val="false"/>
          <w:bCs w:val="false"/>
          <w:color w:val="1A1A1A"/>
          <w:sz w:val="24"/>
          <w:szCs w:val="24"/>
        </w:rPr>
        <w:t xml:space="preserve">•  Staff members, besides the CCO or other designated personnel, will not have access to administrative privileges on systems unless deemed necessary by the CCO; and</w:t>
      </w:r>
    </w:p>
    <w:p>
      <w:pPr>
        <w:spacing w:after="60" w:before="60" w:line="276" w:lineRule="auto"/>
        <w:ind w:left="360"/>
      </w:pPr>
      <w:r>
        <w:rPr>
          <w:rFonts w:ascii="Arial" w:cs="Arial" w:eastAsia="Arial" w:hAnsi="Arial"/>
          <w:b w:val="false"/>
          <w:bCs w:val="false"/>
          <w:color w:val="1A1A1A"/>
          <w:sz w:val="24"/>
          <w:szCs w:val="24"/>
        </w:rPr>
        <w:t xml:space="preserve">•  Staff members may request additional access to systems by contacting the CCO.</w:t>
      </w:r>
    </w:p>
    <w:p>
      <w:pPr>
        <w:keepNext/>
        <w:keepLines/>
        <w:spacing w:after="120" w:before="280" w:line="276" w:lineRule="auto"/>
      </w:pPr>
      <w:r>
        <w:rPr>
          <w:rFonts w:ascii="Arial" w:cs="Arial" w:eastAsia="Arial" w:hAnsi="Arial"/>
          <w:b/>
          <w:bCs/>
          <w:color w:val="2E6B9E"/>
          <w:sz w:val="28"/>
          <w:szCs w:val="28"/>
        </w:rPr>
        <w:t xml:space="preserve">Employee Departure</w:t>
      </w:r>
    </w:p>
    <w:p>
      <w:pPr>
        <w:spacing w:after="120" w:before="120" w:line="276" w:lineRule="auto"/>
        <w:jc w:val="left"/>
      </w:pPr>
      <w:r>
        <w:rPr>
          <w:rFonts w:ascii="Arial" w:cs="Arial" w:eastAsia="Arial" w:hAnsi="Arial"/>
          <w:b w:val="false"/>
          <w:bCs w:val="false"/>
          <w:i w:val="false"/>
          <w:iCs w:val="false"/>
          <w:color w:val="1A1A1A"/>
          <w:sz w:val="24"/>
          <w:szCs w:val="24"/>
        </w:rPr>
        <w:t xml:space="preserve">Terminated employees must return all records containing personal information, in any form, that may at the time of such termination be in the former employee’s possession (including all such information stored on laptops or other portable devices or media, and in files, records, work papers, etc.)</w:t>
      </w:r>
    </w:p>
    <w:p>
      <w:pPr>
        <w:spacing w:after="120" w:before="120" w:line="276" w:lineRule="auto"/>
        <w:jc w:val="left"/>
      </w:pPr>
      <w:r>
        <w:rPr>
          <w:rFonts w:ascii="Arial" w:cs="Arial" w:eastAsia="Arial" w:hAnsi="Arial"/>
          <w:b w:val="false"/>
          <w:bCs w:val="false"/>
          <w:i w:val="false"/>
          <w:iCs w:val="false"/>
          <w:color w:val="1A1A1A"/>
          <w:sz w:val="24"/>
          <w:szCs w:val="24"/>
        </w:rPr>
        <w:t xml:space="preserve">A terminated employee’s physical and electronic access to personal information must be immediately blocked. Such terminated employees shall be required to surrender all keys, IDs or access codes or badges, business cards, and the like, that permit access to the firm’s premises or information. Moreover, such terminated employee’s remote electronic access to personal information must be disabled; his/her voicemail access, e-mail access, internet access, and passwords must be invalidated. The CCO shall maintain a highly secured master list of all lock combinations, passwords and keys.</w:t>
      </w:r>
    </w:p>
    <w:p>
      <w:pPr>
        <w:keepNext/>
        <w:keepLines/>
        <w:spacing w:after="120" w:before="280" w:line="276" w:lineRule="auto"/>
      </w:pPr>
      <w:r>
        <w:rPr>
          <w:rFonts w:ascii="Arial" w:cs="Arial" w:eastAsia="Arial" w:hAnsi="Arial"/>
          <w:b/>
          <w:bCs/>
          <w:color w:val="2E6B9E"/>
          <w:sz w:val="28"/>
          <w:szCs w:val="28"/>
        </w:rPr>
        <w:t xml:space="preserve">Employee Training</w:t>
      </w:r>
    </w:p>
    <w:p>
      <w:pPr>
        <w:spacing w:after="120" w:before="120" w:line="276" w:lineRule="auto"/>
        <w:jc w:val="left"/>
      </w:pPr>
      <w:r>
        <w:rPr>
          <w:rFonts w:ascii="Arial" w:cs="Arial" w:eastAsia="Arial" w:hAnsi="Arial"/>
          <w:b w:val="false"/>
          <w:bCs w:val="false"/>
          <w:i w:val="false"/>
          <w:iCs w:val="false"/>
          <w:color w:val="1A1A1A"/>
          <w:sz w:val="24"/>
          <w:szCs w:val="24"/>
        </w:rPr>
        <w:t xml:space="preserve">No less than once per year, the CCO (or a third-party retained by BWP) will train relevant staff regarding the primary elements of the Program. The training will cover, at a minimum, BWP’s legal and regulatory obligations to protect Personal Information, and a summary of the elements of the Program intended to safeguard such Personal Information.</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Facility Security</w:t>
      </w:r>
    </w:p>
    <w:p>
      <w:pPr>
        <w:keepNext/>
        <w:keepLines/>
        <w:spacing w:after="120" w:before="280" w:line="276" w:lineRule="auto"/>
      </w:pPr>
      <w:r>
        <w:rPr>
          <w:rFonts w:ascii="Arial" w:cs="Arial" w:eastAsia="Arial" w:hAnsi="Arial"/>
          <w:b/>
          <w:bCs/>
          <w:color w:val="2E6B9E"/>
          <w:sz w:val="28"/>
          <w:szCs w:val="28"/>
        </w:rPr>
        <w:t xml:space="preserve">Physical Security</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BWP restricts access to 203 W Franklin St., Dayton, OH 45459 by locking the building with the locks and deadbolts. Non-employees of BWP must always be escorted/supervised by an employee.</w:t>
      </w:r>
    </w:p>
    <w:p>
      <w:pPr>
        <w:keepNext/>
        <w:keepLines/>
        <w:spacing w:after="120" w:before="280" w:line="276" w:lineRule="auto"/>
      </w:pPr>
      <w:r>
        <w:rPr>
          <w:rFonts w:ascii="Arial" w:cs="Arial" w:eastAsia="Arial" w:hAnsi="Arial"/>
          <w:b/>
          <w:bCs/>
          <w:color w:val="2E6B9E"/>
          <w:sz w:val="28"/>
          <w:szCs w:val="28"/>
        </w:rPr>
        <w:t xml:space="preserve">Clean Desk Policy</w:t>
      </w:r>
    </w:p>
    <w:p>
      <w:pPr>
        <w:spacing w:after="120" w:before="120" w:line="276" w:lineRule="auto"/>
        <w:jc w:val="left"/>
      </w:pPr>
      <w:r>
        <w:rPr>
          <w:rFonts w:ascii="Arial" w:cs="Arial" w:eastAsia="Arial" w:hAnsi="Arial"/>
          <w:b w:val="false"/>
          <w:bCs w:val="false"/>
          <w:i w:val="false"/>
          <w:iCs w:val="false"/>
          <w:color w:val="1A1A1A"/>
          <w:sz w:val="24"/>
          <w:szCs w:val="24"/>
        </w:rPr>
        <w:t xml:space="preserve">Background: A clean desk policy can be an important tool to ensure that all sensitive/confidential materials are removed from an employee workspace and locked away when the items are not in use or an employee leaves his/her workstation.</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This policy applies to all BWP’s employees and requires:</w:t>
      </w:r>
    </w:p>
    <w:p>
      <w:pPr>
        <w:spacing w:after="60" w:before="60" w:line="276" w:lineRule="auto"/>
        <w:ind w:left="360"/>
      </w:pPr>
      <w:r>
        <w:rPr>
          <w:rFonts w:ascii="Arial" w:cs="Arial" w:eastAsia="Arial" w:hAnsi="Arial"/>
          <w:b w:val="false"/>
          <w:bCs w:val="false"/>
          <w:color w:val="1A1A1A"/>
          <w:sz w:val="24"/>
          <w:szCs w:val="24"/>
        </w:rPr>
        <w:t xml:space="preserve">•  Employees are required to ensure that all sensitive/confidential information in hardcopy or electronic form is secure in their work area at the end of the day and when they are expected to be gone for an extended period.</w:t>
      </w:r>
    </w:p>
    <w:p>
      <w:pPr>
        <w:spacing w:after="60" w:before="60" w:line="276" w:lineRule="auto"/>
        <w:ind w:left="360"/>
      </w:pPr>
      <w:r>
        <w:rPr>
          <w:rFonts w:ascii="Arial" w:cs="Arial" w:eastAsia="Arial" w:hAnsi="Arial"/>
          <w:b w:val="false"/>
          <w:bCs w:val="false"/>
          <w:color w:val="1A1A1A"/>
          <w:sz w:val="24"/>
          <w:szCs w:val="24"/>
        </w:rPr>
        <w:t xml:space="preserve">•  Computer workstations must be locked when the workspace is unoccupied.</w:t>
      </w:r>
    </w:p>
    <w:p>
      <w:pPr>
        <w:spacing w:after="60" w:before="60" w:line="276" w:lineRule="auto"/>
        <w:ind w:left="360"/>
      </w:pPr>
      <w:r>
        <w:rPr>
          <w:rFonts w:ascii="Arial" w:cs="Arial" w:eastAsia="Arial" w:hAnsi="Arial"/>
          <w:b w:val="false"/>
          <w:bCs w:val="false"/>
          <w:color w:val="1A1A1A"/>
          <w:sz w:val="24"/>
          <w:szCs w:val="24"/>
        </w:rPr>
        <w:t xml:space="preserve">•  Computer workstations must be shut completely down at the end of the workday.</w:t>
      </w:r>
    </w:p>
    <w:p>
      <w:pPr>
        <w:spacing w:after="60" w:before="60" w:line="276" w:lineRule="auto"/>
        <w:ind w:left="360"/>
      </w:pPr>
      <w:r>
        <w:rPr>
          <w:rFonts w:ascii="Arial" w:cs="Arial" w:eastAsia="Arial" w:hAnsi="Arial"/>
          <w:b w:val="false"/>
          <w:bCs w:val="false"/>
          <w:color w:val="1A1A1A"/>
          <w:sz w:val="24"/>
          <w:szCs w:val="24"/>
        </w:rPr>
        <w:t xml:space="preserve">•  Any highly confidential or sensitive information must be removed from the desk and locked in a drawer when the desk is unoccupied and at the end of the workday.</w:t>
      </w:r>
    </w:p>
    <w:p>
      <w:pPr>
        <w:spacing w:after="60" w:before="60" w:line="276" w:lineRule="auto"/>
        <w:ind w:left="360"/>
      </w:pPr>
      <w:r>
        <w:rPr>
          <w:rFonts w:ascii="Arial" w:cs="Arial" w:eastAsia="Arial" w:hAnsi="Arial"/>
          <w:b w:val="false"/>
          <w:bCs w:val="false"/>
          <w:color w:val="1A1A1A"/>
          <w:sz w:val="24"/>
          <w:szCs w:val="24"/>
        </w:rPr>
        <w:t xml:space="preserve">•  File cabinets containing highly confidential or sensitive information must be kept closed and locked when not in use or when not attended.</w:t>
      </w:r>
    </w:p>
    <w:p>
      <w:pPr>
        <w:spacing w:after="60" w:before="60" w:line="276" w:lineRule="auto"/>
        <w:ind w:left="360"/>
      </w:pPr>
      <w:r>
        <w:rPr>
          <w:rFonts w:ascii="Arial" w:cs="Arial" w:eastAsia="Arial" w:hAnsi="Arial"/>
          <w:b w:val="false"/>
          <w:bCs w:val="false"/>
          <w:color w:val="1A1A1A"/>
          <w:sz w:val="24"/>
          <w:szCs w:val="24"/>
        </w:rPr>
        <w:t xml:space="preserve">•  Keys used for access to highly confidential or sensitive information must not be left at an unattended desk.</w:t>
      </w:r>
    </w:p>
    <w:p>
      <w:pPr>
        <w:spacing w:after="60" w:before="60" w:line="276" w:lineRule="auto"/>
        <w:ind w:left="360"/>
      </w:pPr>
      <w:r>
        <w:rPr>
          <w:rFonts w:ascii="Arial" w:cs="Arial" w:eastAsia="Arial" w:hAnsi="Arial"/>
          <w:b w:val="false"/>
          <w:bCs w:val="false"/>
          <w:color w:val="1A1A1A"/>
          <w:sz w:val="24"/>
          <w:szCs w:val="24"/>
        </w:rPr>
        <w:t xml:space="preserve">•  Portable computing devices such as laptops and tablets must be either locked with a locking cable or locked away in a drawer.</w:t>
      </w:r>
    </w:p>
    <w:p>
      <w:pPr>
        <w:spacing w:after="60" w:before="60" w:line="276" w:lineRule="auto"/>
        <w:ind w:left="360"/>
      </w:pPr>
      <w:r>
        <w:rPr>
          <w:rFonts w:ascii="Arial" w:cs="Arial" w:eastAsia="Arial" w:hAnsi="Arial"/>
          <w:b w:val="false"/>
          <w:bCs w:val="false"/>
          <w:color w:val="1A1A1A"/>
          <w:sz w:val="24"/>
          <w:szCs w:val="24"/>
        </w:rPr>
        <w:t xml:space="preserve">•  Passwords may not be left on sticky notes posted on or under a computer, nor may they be left written down in an accessible location.</w:t>
      </w:r>
    </w:p>
    <w:p>
      <w:pPr>
        <w:spacing w:after="60" w:before="60" w:line="276" w:lineRule="auto"/>
        <w:ind w:left="360"/>
      </w:pPr>
      <w:r>
        <w:rPr>
          <w:rFonts w:ascii="Arial" w:cs="Arial" w:eastAsia="Arial" w:hAnsi="Arial"/>
          <w:b w:val="false"/>
          <w:bCs w:val="false"/>
          <w:color w:val="1A1A1A"/>
          <w:sz w:val="24"/>
          <w:szCs w:val="24"/>
        </w:rPr>
        <w:t xml:space="preserve">•  Printouts containing highly confidential or sensitive information should be immediately removed from the printer.</w:t>
      </w:r>
    </w:p>
    <w:p>
      <w:pPr>
        <w:spacing w:after="60" w:before="60" w:line="276" w:lineRule="auto"/>
        <w:ind w:left="360"/>
      </w:pPr>
      <w:r>
        <w:rPr>
          <w:rFonts w:ascii="Arial" w:cs="Arial" w:eastAsia="Arial" w:hAnsi="Arial"/>
          <w:b w:val="false"/>
          <w:bCs w:val="false"/>
          <w:color w:val="1A1A1A"/>
          <w:sz w:val="24"/>
          <w:szCs w:val="24"/>
        </w:rPr>
        <w:t xml:space="preserve">•  Upon disposal, highly confidential and/or sensitive documents should be shredded in the official shredder bins or placed in the lock confidential disposal bins.</w:t>
      </w:r>
    </w:p>
    <w:p>
      <w:pPr>
        <w:spacing w:after="60" w:before="60" w:line="276" w:lineRule="auto"/>
        <w:ind w:left="360"/>
      </w:pPr>
      <w:r>
        <w:rPr>
          <w:rFonts w:ascii="Arial" w:cs="Arial" w:eastAsia="Arial" w:hAnsi="Arial"/>
          <w:b w:val="false"/>
          <w:bCs w:val="false"/>
          <w:color w:val="1A1A1A"/>
          <w:sz w:val="24"/>
          <w:szCs w:val="24"/>
        </w:rPr>
        <w:t xml:space="preserve">•  Whiteboards containing highly confidential and/or sensitive information should be erased.</w:t>
      </w:r>
    </w:p>
    <w:p>
      <w:pPr>
        <w:spacing w:after="60" w:before="60" w:line="276" w:lineRule="auto"/>
        <w:ind w:left="360"/>
      </w:pPr>
      <w:r>
        <w:rPr>
          <w:rFonts w:ascii="Arial" w:cs="Arial" w:eastAsia="Arial" w:hAnsi="Arial"/>
          <w:b w:val="false"/>
          <w:bCs w:val="false"/>
          <w:color w:val="1A1A1A"/>
          <w:sz w:val="24"/>
          <w:szCs w:val="24"/>
        </w:rPr>
        <w:t xml:space="preserve">•  Treat mass storage devices such as USB and hard drives as sensitive and secure them in a locked drawer, physical lock, or password.</w:t>
      </w:r>
    </w:p>
    <w:p>
      <w:pPr>
        <w:keepNext/>
        <w:keepLines/>
        <w:spacing w:after="120" w:before="280" w:line="276" w:lineRule="auto"/>
      </w:pPr>
      <w:r>
        <w:rPr>
          <w:rFonts w:ascii="Arial" w:cs="Arial" w:eastAsia="Arial" w:hAnsi="Arial"/>
          <w:b/>
          <w:bCs/>
          <w:color w:val="2E6B9E"/>
          <w:sz w:val="28"/>
          <w:szCs w:val="28"/>
        </w:rPr>
        <w:t xml:space="preserve">Mail Security</w:t>
      </w:r>
    </w:p>
    <w:p>
      <w:pPr>
        <w:spacing w:after="120" w:before="120" w:line="276" w:lineRule="auto"/>
        <w:jc w:val="left"/>
      </w:pPr>
      <w:r>
        <w:rPr>
          <w:rFonts w:ascii="Arial" w:cs="Arial" w:eastAsia="Arial" w:hAnsi="Arial"/>
          <w:b w:val="false"/>
          <w:bCs w:val="false"/>
          <w:i w:val="false"/>
          <w:iCs w:val="false"/>
          <w:color w:val="1A1A1A"/>
          <w:sz w:val="24"/>
          <w:szCs w:val="24"/>
        </w:rPr>
        <w:t xml:space="preserve">BWP utilizes a mailbox for sending and receiving mail.</w:t>
      </w:r>
    </w:p>
    <w:p>
      <w:pPr>
        <w:keepNext/>
        <w:keepLines/>
        <w:spacing w:after="120" w:before="280" w:line="276" w:lineRule="auto"/>
      </w:pPr>
      <w:r>
        <w:rPr>
          <w:rFonts w:ascii="Arial" w:cs="Arial" w:eastAsia="Arial" w:hAnsi="Arial"/>
          <w:b/>
          <w:bCs/>
          <w:color w:val="2E6B9E"/>
          <w:sz w:val="28"/>
          <w:szCs w:val="28"/>
        </w:rPr>
        <w:t xml:space="preserve">Trash Disposal</w:t>
      </w:r>
    </w:p>
    <w:p>
      <w:pPr>
        <w:spacing w:after="120" w:before="120" w:line="276" w:lineRule="auto"/>
        <w:jc w:val="left"/>
      </w:pPr>
      <w:r>
        <w:rPr>
          <w:rFonts w:ascii="Arial" w:cs="Arial" w:eastAsia="Arial" w:hAnsi="Arial"/>
          <w:b w:val="false"/>
          <w:bCs w:val="false"/>
          <w:i w:val="false"/>
          <w:iCs w:val="false"/>
          <w:color w:val="1A1A1A"/>
          <w:sz w:val="24"/>
          <w:szCs w:val="24"/>
        </w:rPr>
        <w:t xml:space="preserve">All documents that contain sensitive information must be disposed of by use of a shredder/shred bin (in the event of a shredding vendor). Shred bins are locked and emptied at a sufficient frequency.</w:t>
      </w:r>
    </w:p>
    <w:p>
      <w:pPr>
        <w:keepNext/>
        <w:keepLines/>
        <w:spacing w:after="120" w:before="280" w:line="276" w:lineRule="auto"/>
      </w:pPr>
      <w:r>
        <w:rPr>
          <w:rFonts w:ascii="Arial" w:cs="Arial" w:eastAsia="Arial" w:hAnsi="Arial"/>
          <w:b/>
          <w:bCs/>
          <w:color w:val="2E6B9E"/>
          <w:sz w:val="28"/>
          <w:szCs w:val="28"/>
        </w:rPr>
        <w:t xml:space="preserve">Electronic Equipment Disposal</w:t>
      </w:r>
    </w:p>
    <w:p>
      <w:pPr>
        <w:spacing w:after="120" w:before="120" w:line="276" w:lineRule="auto"/>
        <w:jc w:val="left"/>
      </w:pPr>
      <w:r>
        <w:rPr>
          <w:rFonts w:ascii="Arial" w:cs="Arial" w:eastAsia="Arial" w:hAnsi="Arial"/>
          <w:b w:val="false"/>
          <w:bCs w:val="false"/>
          <w:i w:val="false"/>
          <w:iCs w:val="false"/>
          <w:color w:val="1A1A1A"/>
          <w:sz w:val="24"/>
          <w:szCs w:val="24"/>
        </w:rPr>
        <w:t xml:space="preserve">Disposing of electronic equipment requires skilled specialists in order to ensure the security of sensitive information contained within that equipment. If outside help, such as an experienced electronic equipment recycler and data security vendor, is not available or too expensive, you should at a minimum remove computer hard drives and have them shredded. Also, be mindful of risks with other types of equipment associated with computer equipment, including CDs and thumb drives.</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Data Backup and Recovery Testing</w:t>
      </w:r>
    </w:p>
    <w:p>
      <w:pPr>
        <w:keepNext/>
        <w:keepLines/>
        <w:spacing w:after="120" w:before="280" w:line="276" w:lineRule="auto"/>
      </w:pPr>
      <w:r>
        <w:rPr>
          <w:rFonts w:ascii="Arial" w:cs="Arial" w:eastAsia="Arial" w:hAnsi="Arial"/>
          <w:b/>
          <w:bCs/>
          <w:color w:val="2E6B9E"/>
          <w:sz w:val="28"/>
          <w:szCs w:val="28"/>
        </w:rPr>
        <w:t xml:space="preserve">Backup Procedures</w:t>
      </w:r>
    </w:p>
    <w:p>
      <w:pPr>
        <w:spacing w:after="120" w:before="120" w:line="276" w:lineRule="auto"/>
        <w:jc w:val="left"/>
      </w:pPr>
      <w:r>
        <w:rPr>
          <w:rFonts w:ascii="Arial" w:cs="Arial" w:eastAsia="Arial" w:hAnsi="Arial"/>
          <w:b w:val="false"/>
          <w:bCs w:val="false"/>
          <w:i w:val="false"/>
          <w:iCs w:val="false"/>
          <w:color w:val="1A1A1A"/>
          <w:sz w:val="24"/>
          <w:szCs w:val="24"/>
        </w:rPr>
        <w:t xml:space="preserve">All files required to be maintained under the appropriate federal and state regulations are backed up on a daily basis through OneDrive. These records are redundant electronic documents, accessible to BWP from any secure internet connection. The CCO is responsible for verifying that backup systems are functioning on at least a quarterly basis.</w:t>
      </w:r>
    </w:p>
    <w:p>
      <w:pPr>
        <w:keepNext/>
        <w:keepLines/>
        <w:spacing w:after="120" w:before="280" w:line="276" w:lineRule="auto"/>
      </w:pPr>
      <w:r>
        <w:rPr>
          <w:rFonts w:ascii="Arial" w:cs="Arial" w:eastAsia="Arial" w:hAnsi="Arial"/>
          <w:b/>
          <w:bCs/>
          <w:color w:val="2E6B9E"/>
          <w:sz w:val="28"/>
          <w:szCs w:val="28"/>
        </w:rPr>
        <w:t xml:space="preserve">Annual Backup Restoration Testing</w:t>
      </w:r>
    </w:p>
    <w:p>
      <w:pPr>
        <w:spacing w:after="120" w:before="120" w:line="276" w:lineRule="auto"/>
        <w:jc w:val="left"/>
      </w:pPr>
      <w:r>
        <w:rPr>
          <w:rFonts w:ascii="Arial" w:cs="Arial" w:eastAsia="Arial" w:hAnsi="Arial"/>
          <w:b w:val="false"/>
          <w:bCs w:val="false"/>
          <w:i w:val="false"/>
          <w:iCs w:val="false"/>
          <w:color w:val="1A1A1A"/>
          <w:sz w:val="24"/>
          <w:szCs w:val="24"/>
        </w:rPr>
        <w:t xml:space="preserve">BWP shall test backup restoration procedures at least annually to verify that critical data and systems can be recovered. The annual test shall simulate restoration from the primary backup system (OneDrive/SharePoint) and verify that client advisory records, compliance files, and financial planning documents can be fully retrieved. Test results shall be documented in writing, signed by the CCO, and retained for five (5) years.</w:t>
      </w:r>
    </w:p>
    <w:p>
      <w:pPr>
        <w:spacing w:after="120" w:before="120" w:line="276" w:lineRule="auto"/>
        <w:jc w:val="left"/>
      </w:pPr>
      <w:r>
        <w:rPr>
          <w:rFonts w:ascii="Arial" w:cs="Arial" w:eastAsia="Arial" w:hAnsi="Arial"/>
          <w:b w:val="false"/>
          <w:bCs w:val="false"/>
          <w:i w:val="false"/>
          <w:iCs w:val="false"/>
          <w:color w:val="1A1A1A"/>
          <w:sz w:val="24"/>
          <w:szCs w:val="24"/>
        </w:rPr>
        <w:t xml:space="preserve">If a backup restoration test reveals deficiencies, the CCO shall direct remediation within 30 calendar days and document the corrective actions taken.</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Insurance</w:t>
      </w:r>
    </w:p>
    <w:p>
      <w:pPr>
        <w:spacing w:after="120" w:before="120" w:line="276" w:lineRule="auto"/>
        <w:jc w:val="left"/>
      </w:pPr>
      <w:r>
        <w:rPr>
          <w:rFonts w:ascii="Arial" w:cs="Arial" w:eastAsia="Arial" w:hAnsi="Arial"/>
          <w:b w:val="false"/>
          <w:bCs w:val="false"/>
          <w:i w:val="false"/>
          <w:iCs w:val="false"/>
          <w:color w:val="1A1A1A"/>
          <w:sz w:val="24"/>
          <w:szCs w:val="24"/>
        </w:rPr>
        <w:t xml:space="preserve">Policy: BWP has purchased information security insurance coverage. The coverage would apply in the event of an information security incident, and is intended to defray the costs incurred by BWP, among other things, to:</w:t>
      </w:r>
    </w:p>
    <w:p>
      <w:pPr>
        <w:spacing w:after="60" w:before="60" w:line="276" w:lineRule="auto"/>
        <w:ind w:left="360"/>
      </w:pPr>
      <w:r>
        <w:rPr>
          <w:rFonts w:ascii="Arial" w:cs="Arial" w:eastAsia="Arial" w:hAnsi="Arial"/>
          <w:b w:val="false"/>
          <w:bCs w:val="false"/>
          <w:color w:val="1A1A1A"/>
          <w:sz w:val="24"/>
          <w:szCs w:val="24"/>
        </w:rPr>
        <w:t xml:space="preserve">•  Restore network security;</w:t>
      </w:r>
    </w:p>
    <w:p>
      <w:pPr>
        <w:spacing w:after="60" w:before="60" w:line="276" w:lineRule="auto"/>
        <w:ind w:left="360"/>
      </w:pPr>
      <w:r>
        <w:rPr>
          <w:rFonts w:ascii="Arial" w:cs="Arial" w:eastAsia="Arial" w:hAnsi="Arial"/>
          <w:b w:val="false"/>
          <w:bCs w:val="false"/>
          <w:color w:val="1A1A1A"/>
          <w:sz w:val="24"/>
          <w:szCs w:val="24"/>
        </w:rPr>
        <w:t xml:space="preserve">•  Investigate the incident;</w:t>
      </w:r>
    </w:p>
    <w:p>
      <w:pPr>
        <w:spacing w:after="60" w:before="60" w:line="276" w:lineRule="auto"/>
        <w:ind w:left="360"/>
      </w:pPr>
      <w:r>
        <w:rPr>
          <w:rFonts w:ascii="Arial" w:cs="Arial" w:eastAsia="Arial" w:hAnsi="Arial"/>
          <w:b w:val="false"/>
          <w:bCs w:val="false"/>
          <w:color w:val="1A1A1A"/>
          <w:sz w:val="24"/>
          <w:szCs w:val="24"/>
        </w:rPr>
        <w:t xml:space="preserve">•  Recover data believed to be lost as a result of the incident;</w:t>
      </w:r>
    </w:p>
    <w:p>
      <w:pPr>
        <w:spacing w:after="60" w:before="60" w:line="276" w:lineRule="auto"/>
        <w:ind w:left="360"/>
      </w:pPr>
      <w:r>
        <w:rPr>
          <w:rFonts w:ascii="Arial" w:cs="Arial" w:eastAsia="Arial" w:hAnsi="Arial"/>
          <w:b w:val="false"/>
          <w:bCs w:val="false"/>
          <w:color w:val="1A1A1A"/>
          <w:sz w:val="24"/>
          <w:szCs w:val="24"/>
        </w:rPr>
        <w:t xml:space="preserve">•  Obtain legal advice regarding BWP’s obligations arising from the incident;</w:t>
      </w:r>
    </w:p>
    <w:p>
      <w:pPr>
        <w:spacing w:after="60" w:before="60" w:line="276" w:lineRule="auto"/>
        <w:ind w:left="360"/>
      </w:pPr>
      <w:r>
        <w:rPr>
          <w:rFonts w:ascii="Arial" w:cs="Arial" w:eastAsia="Arial" w:hAnsi="Arial"/>
          <w:b w:val="false"/>
          <w:bCs w:val="false"/>
          <w:color w:val="1A1A1A"/>
          <w:sz w:val="24"/>
          <w:szCs w:val="24"/>
        </w:rPr>
        <w:t xml:space="preserve">•  Respond to any business interruption resulting from the incident;</w:t>
      </w:r>
    </w:p>
    <w:p>
      <w:pPr>
        <w:spacing w:after="60" w:before="60" w:line="276" w:lineRule="auto"/>
        <w:ind w:left="360"/>
      </w:pPr>
      <w:r>
        <w:rPr>
          <w:rFonts w:ascii="Arial" w:cs="Arial" w:eastAsia="Arial" w:hAnsi="Arial"/>
          <w:b w:val="false"/>
          <w:bCs w:val="false"/>
          <w:color w:val="1A1A1A"/>
          <w:sz w:val="24"/>
          <w:szCs w:val="24"/>
        </w:rPr>
        <w:t xml:space="preserve">•  Notify clients regarding the incident; and</w:t>
      </w:r>
    </w:p>
    <w:p>
      <w:pPr>
        <w:spacing w:after="60" w:before="60" w:line="276" w:lineRule="auto"/>
        <w:ind w:left="360"/>
      </w:pPr>
      <w:r>
        <w:rPr>
          <w:rFonts w:ascii="Arial" w:cs="Arial" w:eastAsia="Arial" w:hAnsi="Arial"/>
          <w:b w:val="false"/>
          <w:bCs w:val="false"/>
          <w:color w:val="1A1A1A"/>
          <w:sz w:val="24"/>
          <w:szCs w:val="24"/>
        </w:rPr>
        <w:t xml:space="preserve">•  Respond to any claim brought by a regulator or client, including (with respect to the latter) any claim of breach of privacy.</w:t>
      </w:r>
    </w:p>
    <w:p>
      <w:pPr>
        <w:keepNext/>
        <w:keepLines/>
        <w:spacing w:after="120" w:before="280" w:line="276" w:lineRule="auto"/>
      </w:pPr>
      <w:r>
        <w:rPr>
          <w:rFonts w:ascii="Arial" w:cs="Arial" w:eastAsia="Arial" w:hAnsi="Arial"/>
          <w:b/>
          <w:bCs/>
          <w:color w:val="2E6B9E"/>
          <w:sz w:val="28"/>
          <w:szCs w:val="28"/>
        </w:rPr>
        <w:t xml:space="preserve">Insurance Coverage Requirements</w:t>
      </w:r>
    </w:p>
    <w:p>
      <w:pPr>
        <w:spacing w:after="120" w:before="120" w:line="276" w:lineRule="auto"/>
        <w:jc w:val="left"/>
      </w:pPr>
      <w:r>
        <w:rPr>
          <w:rFonts w:ascii="Arial" w:cs="Arial" w:eastAsia="Arial" w:hAnsi="Arial"/>
          <w:b w:val="false"/>
          <w:bCs w:val="false"/>
          <w:i w:val="false"/>
          <w:iCs w:val="false"/>
          <w:color w:val="1A1A1A"/>
          <w:sz w:val="24"/>
          <w:szCs w:val="24"/>
        </w:rPr>
        <w:t xml:space="preserve">BWP shall maintain combined errors and omissions (E&amp;O), cybersecurity, and social engineering insurance coverage of no less than $1,000,000 as required by Altruist Financial, LLC. BWP shall submit a current Certificate of Insurance (COI) to Altruist annually by December 31. The CCO is responsible for coordinating insurance renewal and timely COI submission.</w:t>
      </w:r>
    </w:p>
    <w:p>
      <w:pPr>
        <w:spacing w:after="120" w:before="120" w:line="276" w:lineRule="auto"/>
        <w:jc w:val="left"/>
      </w:pPr>
      <w:r>
        <w:rPr>
          <w:rFonts w:ascii="Arial" w:cs="Arial" w:eastAsia="Arial" w:hAnsi="Arial"/>
          <w:b w:val="false"/>
          <w:bCs w:val="false"/>
          <w:i w:val="false"/>
          <w:iCs w:val="false"/>
          <w:color w:val="1A1A1A"/>
          <w:sz w:val="24"/>
          <w:szCs w:val="24"/>
        </w:rPr>
        <w:t xml:space="preserve">The current Certificate of Insurance is maintained in BWP’s compliance records in SharePoint. Proof of coverage must be available for production to regulators or Altruist upon request.</w:t>
      </w:r>
    </w:p>
    <w:p>
      <w:pPr>
        <w:keepNext/>
        <w:keepLines/>
        <w:pBdr>
          <w:bottom w:val="single" w:color="1B3A5C" w:sz="4" w:space="4"/>
        </w:pBdr>
        <w:spacing w:after="160" w:before="360" w:line="276" w:lineRule="auto"/>
      </w:pPr>
      <w:r>
        <w:rPr>
          <w:rFonts w:ascii="Arial" w:cs="Arial" w:eastAsia="Arial" w:hAnsi="Arial"/>
          <w:b/>
          <w:bCs/>
          <w:color w:val="1B3A5C"/>
          <w:sz w:val="32"/>
          <w:szCs w:val="32"/>
        </w:rPr>
        <w:t xml:space="preserve">Incident Response and Reporting</w:t>
      </w:r>
    </w:p>
    <w:p>
      <w:pPr>
        <w:spacing w:after="120" w:before="120" w:line="276" w:lineRule="auto"/>
        <w:jc w:val="left"/>
      </w:pPr>
      <w:r>
        <w:rPr>
          <w:rFonts w:ascii="Arial" w:cs="Arial" w:eastAsia="Arial" w:hAnsi="Arial"/>
          <w:b w:val="false"/>
          <w:bCs w:val="false"/>
          <w:i w:val="false"/>
          <w:iCs w:val="false"/>
          <w:color w:val="1A1A1A"/>
          <w:sz w:val="24"/>
          <w:szCs w:val="24"/>
        </w:rPr>
        <w:t xml:space="preserve">BWP has implemented the following procedures for responding to an incident involving unauthorized access to, or unauthorized disclosure or use of, Personal Information:</w:t>
      </w:r>
    </w:p>
    <w:p>
      <w:pPr>
        <w:spacing w:after="60" w:before="60" w:line="276" w:lineRule="auto"/>
        <w:ind w:left="360"/>
      </w:pPr>
      <w:r>
        <w:rPr>
          <w:rFonts w:ascii="Arial" w:cs="Arial" w:eastAsia="Arial" w:hAnsi="Arial"/>
          <w:b w:val="false"/>
          <w:bCs w:val="false"/>
          <w:color w:val="1A1A1A"/>
          <w:sz w:val="24"/>
          <w:szCs w:val="24"/>
        </w:rPr>
        <w:t xml:space="preserve">•  The CCO will direct the assessment of the nature and scope of any such incident, including the circumstances which led to the detection of the intrusion, and will identify the systems, networks, and data involved in the incident;</w:t>
      </w:r>
    </w:p>
    <w:p>
      <w:pPr>
        <w:spacing w:after="60" w:before="60" w:line="276" w:lineRule="auto"/>
        <w:ind w:left="360"/>
      </w:pPr>
      <w:r>
        <w:rPr>
          <w:rFonts w:ascii="Arial" w:cs="Arial" w:eastAsia="Arial" w:hAnsi="Arial"/>
          <w:b w:val="false"/>
          <w:bCs w:val="false"/>
          <w:color w:val="1A1A1A"/>
          <w:sz w:val="24"/>
          <w:szCs w:val="24"/>
        </w:rPr>
        <w:t xml:space="preserve">•  On the basis of the CCO’s assessment, the CCO will direct and supervise the actions taken by BWP to contain and control the incident to prevent further unauthorized access to, or unauthorized disclosure or use of, Personal Information;</w:t>
      </w:r>
    </w:p>
    <w:p>
      <w:pPr>
        <w:spacing w:after="60" w:before="60" w:line="276" w:lineRule="auto"/>
        <w:ind w:left="360"/>
      </w:pPr>
      <w:r>
        <w:rPr>
          <w:rFonts w:ascii="Arial" w:cs="Arial" w:eastAsia="Arial" w:hAnsi="Arial"/>
          <w:b w:val="false"/>
          <w:bCs w:val="false"/>
          <w:color w:val="1A1A1A"/>
          <w:sz w:val="24"/>
          <w:szCs w:val="24"/>
        </w:rPr>
        <w:t xml:space="preserve">•  The CCO will conduct (or direct and supervise) a prompt investigation of the incident, with the objective of determining the likelihood that Personal Information has been or will be misappropriated; and</w:t>
      </w:r>
    </w:p>
    <w:p>
      <w:pPr>
        <w:spacing w:after="60" w:before="60" w:line="276" w:lineRule="auto"/>
        <w:ind w:left="360"/>
      </w:pPr>
      <w:r>
        <w:rPr>
          <w:rFonts w:ascii="Arial" w:cs="Arial" w:eastAsia="Arial" w:hAnsi="Arial"/>
          <w:b w:val="false"/>
          <w:bCs w:val="false"/>
          <w:color w:val="1A1A1A"/>
          <w:sz w:val="24"/>
          <w:szCs w:val="24"/>
        </w:rPr>
        <w:t xml:space="preserve">•  If BWP’s assessment indicates that Personal Information has been misappropriated or is reasonably possible, then as soon as possible the CCO will prepare a written summary of what took place and a description of the possible risk(s) of a future breach of BWP’s system and networks (or the systems and/or networks used by BWP but maintained by one or more Vendors), and will provide the written summary to (i) the State Regulator, and (ii) relevant law enforcement authorities.</w:t>
      </w:r>
    </w:p>
    <w:p>
      <w:pPr>
        <w:keepNext/>
        <w:keepLines/>
        <w:spacing w:after="120" w:before="280" w:line="276" w:lineRule="auto"/>
      </w:pPr>
      <w:r>
        <w:rPr>
          <w:rFonts w:ascii="Arial" w:cs="Arial" w:eastAsia="Arial" w:hAnsi="Arial"/>
          <w:b/>
          <w:bCs/>
          <w:color w:val="2E6B9E"/>
          <w:sz w:val="28"/>
          <w:szCs w:val="28"/>
        </w:rPr>
        <w:t xml:space="preserve">30-Day Client Breach Notification — Amended Regulation S-P</w:t>
      </w:r>
    </w:p>
    <w:p>
      <w:pPr>
        <w:spacing w:after="120" w:before="120" w:line="276" w:lineRule="auto"/>
        <w:jc w:val="left"/>
      </w:pPr>
      <w:r>
        <w:rPr>
          <w:rFonts w:ascii="Arial" w:cs="Arial" w:eastAsia="Arial" w:hAnsi="Arial"/>
          <w:b w:val="false"/>
          <w:bCs w:val="false"/>
          <w:i w:val="false"/>
          <w:iCs w:val="false"/>
          <w:color w:val="1A1A1A"/>
          <w:sz w:val="24"/>
          <w:szCs w:val="24"/>
        </w:rPr>
        <w:t xml:space="preserve">Upon determining that a security breach has resulted in unauthorized access to or misuse of client nonpublic personal information, BWP shall notify each affected individual within thirty (30) calendar days of discovery, in accordance with amended Regulation S-P (17 CFR § 248.30, effective December 3, 2025). The notification shall describe the nature of the incident, the types of information involved, steps BWP is taking to address the breach, and contact information for further questions. The CCO may delay notification if a law enforcement agency determines that notification would impede a criminal investigation, provided BWP obtains such determination in writing.</w:t>
      </w:r>
    </w:p>
    <w:p>
      <w:pPr>
        <w:spacing w:after="100" w:before="220" w:line="276" w:lineRule="auto"/>
      </w:pPr>
      <w:r>
        <w:rPr>
          <w:rFonts w:ascii="Arial" w:cs="Arial" w:eastAsia="Arial" w:hAnsi="Arial"/>
          <w:b/>
          <w:bCs/>
          <w:color w:val="1A1A1A"/>
          <w:sz w:val="24"/>
          <w:szCs w:val="24"/>
        </w:rPr>
        <w:t xml:space="preserve">Notice Content Requirements</w:t>
      </w:r>
    </w:p>
    <w:p>
      <w:pPr>
        <w:spacing w:after="120" w:before="120" w:line="276" w:lineRule="auto"/>
        <w:jc w:val="left"/>
      </w:pPr>
      <w:r>
        <w:rPr>
          <w:rFonts w:ascii="Arial" w:cs="Arial" w:eastAsia="Arial" w:hAnsi="Arial"/>
          <w:b w:val="false"/>
          <w:bCs w:val="false"/>
          <w:i w:val="false"/>
          <w:iCs w:val="false"/>
          <w:color w:val="1A1A1A"/>
          <w:sz w:val="24"/>
          <w:szCs w:val="24"/>
        </w:rPr>
        <w:t xml:space="preserve">Each breach notification to affected individuals shall include, at minimum:</w:t>
      </w:r>
    </w:p>
    <w:p>
      <w:pPr>
        <w:spacing w:after="60" w:before="60" w:line="276" w:lineRule="auto"/>
        <w:ind w:left="360"/>
      </w:pPr>
      <w:r>
        <w:rPr>
          <w:rFonts w:ascii="Arial" w:cs="Arial" w:eastAsia="Arial" w:hAnsi="Arial"/>
          <w:b w:val="false"/>
          <w:bCs w:val="false"/>
          <w:color w:val="1A1A1A"/>
          <w:sz w:val="24"/>
          <w:szCs w:val="24"/>
        </w:rPr>
        <w:t xml:space="preserve">•  A description of what happened, including the date of the breach and date of discovery;</w:t>
      </w:r>
    </w:p>
    <w:p>
      <w:pPr>
        <w:spacing w:after="60" w:before="60" w:line="276" w:lineRule="auto"/>
        <w:ind w:left="360"/>
      </w:pPr>
      <w:r>
        <w:rPr>
          <w:rFonts w:ascii="Arial" w:cs="Arial" w:eastAsia="Arial" w:hAnsi="Arial"/>
          <w:b w:val="false"/>
          <w:bCs w:val="false"/>
          <w:color w:val="1A1A1A"/>
          <w:sz w:val="24"/>
          <w:szCs w:val="24"/>
        </w:rPr>
        <w:t xml:space="preserve">•  The types of nonpublic personal information that were involved (e.g., name, Social Security number, account number, financial data);</w:t>
      </w:r>
    </w:p>
    <w:p>
      <w:pPr>
        <w:spacing w:after="60" w:before="60" w:line="276" w:lineRule="auto"/>
        <w:ind w:left="360"/>
      </w:pPr>
      <w:r>
        <w:rPr>
          <w:rFonts w:ascii="Arial" w:cs="Arial" w:eastAsia="Arial" w:hAnsi="Arial"/>
          <w:b w:val="false"/>
          <w:bCs w:val="false"/>
          <w:color w:val="1A1A1A"/>
          <w:sz w:val="24"/>
          <w:szCs w:val="24"/>
        </w:rPr>
        <w:t xml:space="preserve">•  The steps BWP is taking to investigate the breach, mitigate harm, and prevent recurrence;</w:t>
      </w:r>
    </w:p>
    <w:p>
      <w:pPr>
        <w:spacing w:after="60" w:before="60" w:line="276" w:lineRule="auto"/>
        <w:ind w:left="360"/>
      </w:pPr>
      <w:r>
        <w:rPr>
          <w:rFonts w:ascii="Arial" w:cs="Arial" w:eastAsia="Arial" w:hAnsi="Arial"/>
          <w:b w:val="false"/>
          <w:bCs w:val="false"/>
          <w:color w:val="1A1A1A"/>
          <w:sz w:val="24"/>
          <w:szCs w:val="24"/>
        </w:rPr>
        <w:t xml:space="preserve">•  Steps that affected individuals can take to protect themselves; and</w:t>
      </w:r>
    </w:p>
    <w:p>
      <w:pPr>
        <w:spacing w:after="60" w:before="60" w:line="276" w:lineRule="auto"/>
        <w:ind w:left="360"/>
      </w:pPr>
      <w:r>
        <w:rPr>
          <w:rFonts w:ascii="Arial" w:cs="Arial" w:eastAsia="Arial" w:hAnsi="Arial"/>
          <w:b w:val="false"/>
          <w:bCs w:val="false"/>
          <w:color w:val="1A1A1A"/>
          <w:sz w:val="24"/>
          <w:szCs w:val="24"/>
        </w:rPr>
        <w:t xml:space="preserve">•  Contact information for further questions, including the CCO’s name and phone number.</w:t>
      </w:r>
    </w:p>
    <w:p>
      <w:pPr>
        <w:spacing w:after="100" w:before="220" w:line="276" w:lineRule="auto"/>
      </w:pPr>
      <w:r>
        <w:rPr>
          <w:rFonts w:ascii="Arial" w:cs="Arial" w:eastAsia="Arial" w:hAnsi="Arial"/>
          <w:b/>
          <w:bCs/>
          <w:color w:val="1A1A1A"/>
          <w:sz w:val="24"/>
          <w:szCs w:val="24"/>
        </w:rPr>
        <w:t xml:space="preserve">Documentation and Record Retention</w:t>
      </w:r>
    </w:p>
    <w:p>
      <w:pPr>
        <w:spacing w:after="120" w:before="120" w:line="276" w:lineRule="auto"/>
        <w:jc w:val="left"/>
      </w:pPr>
      <w:r>
        <w:rPr>
          <w:rFonts w:ascii="Arial" w:cs="Arial" w:eastAsia="Arial" w:hAnsi="Arial"/>
          <w:b w:val="false"/>
          <w:bCs w:val="false"/>
          <w:i w:val="false"/>
          <w:iCs w:val="false"/>
          <w:color w:val="1A1A1A"/>
          <w:sz w:val="24"/>
          <w:szCs w:val="24"/>
        </w:rPr>
        <w:t xml:space="preserve">BWP will provide the written summary referred above to each client or other individual whose information was misappropriated (or may be misappropriated), unless the regulator and/or law enforcement authorities request in writing that the notification be delayed. Any notification will be prepared in compliance with relevant state breach notification law, if any, and any other applicable laws and regulations, including the applicable laws and regulations of the jurisdiction in which the affected client(s) reside.</w:t>
      </w:r>
    </w:p>
    <w:p>
      <w:pPr>
        <w:spacing w:after="120" w:before="120" w:line="276" w:lineRule="auto"/>
        <w:jc w:val="left"/>
      </w:pPr>
      <w:r>
        <w:rPr>
          <w:rFonts w:ascii="Arial" w:cs="Arial" w:eastAsia="Arial" w:hAnsi="Arial"/>
          <w:b w:val="false"/>
          <w:bCs w:val="false"/>
          <w:i w:val="false"/>
          <w:iCs w:val="false"/>
          <w:color w:val="1A1A1A"/>
          <w:sz w:val="24"/>
          <w:szCs w:val="24"/>
        </w:rPr>
        <w:t xml:space="preserve">The CCO will document BWP’s actions taken in response to each incident, including any assessment of the nature of what occurred, how BWP responded to the incident, the scope of any misappropriation of Personal Information, whether the incident will trigger implementation of any processes under the BCP, and the action(s), if any, BWP intends to take to prevent any future incident. All incident records shall be retained for a minimum of five (5) years.</w:t>
      </w:r>
    </w:p>
    <w:p>
      <w:pPr>
        <w:pBdr>
          <w:top w:val="single" w:color="2E6B9E" w:sz="2" w:space="4"/>
          <w:bottom w:val="single" w:color="2E6B9E" w:sz="2" w:space="4"/>
          <w:left w:val="single" w:color="1B3A5C" w:sz="8" w:space="8"/>
        </w:pBdr>
        <w:spacing w:after="120" w:before="120" w:line="276" w:lineRule="auto"/>
        <w:ind w:left="360" w:right="360"/>
      </w:pPr>
      <w:r>
        <w:rPr>
          <w:rFonts w:ascii="Arial" w:cs="Arial" w:eastAsia="Arial" w:hAnsi="Arial"/>
          <w:i/>
          <w:iCs/>
          <w:color w:val="1A1A1A"/>
          <w:sz w:val="24"/>
          <w:szCs w:val="24"/>
        </w:rPr>
        <w:t xml:space="preserve">NOTE: State-by-state incident reporting requirements: https://www.ncsl.org/research/telecommunications-and-information-technology/security-breach-notification-laws.aspx</w:t>
      </w:r>
    </w:p>
    <w:p>
      <w:pPr>
        <w:pBdr>
          <w:bottom w:val="single" w:color="1B3A5C" w:sz="6" w:space="2"/>
        </w:pBdr>
        <w:spacing w:after="120" w:before="120"/>
      </w:pPr>
      <w:r>
        <w:t xml:space="preserve"/>
      </w:r>
    </w:p>
    <w:p>
      <w:pPr>
        <w:spacing w:after="80" w:before="120"/>
        <w:jc w:val="center"/>
      </w:pPr>
      <w:r>
        <w:rPr>
          <w:rFonts w:ascii="Arial" w:cs="Arial" w:eastAsia="Arial" w:hAnsi="Arial"/>
          <w:i/>
          <w:iCs/>
          <w:color w:val="666666"/>
          <w:sz w:val="20"/>
          <w:szCs w:val="20"/>
        </w:rPr>
        <w:t xml:space="preserve">Version 04.2026  |  Effective Date: April 13, 2026  |  Supersedes v.01.2026</w:t>
      </w:r>
    </w:p>
    <w:p>
      <w:pPr>
        <w:spacing w:after="60" w:before="60"/>
        <w:jc w:val="center"/>
      </w:pPr>
      <w:r>
        <w:rPr>
          <w:rFonts w:ascii="Arial" w:cs="Arial" w:eastAsia="Arial" w:hAnsi="Arial"/>
          <w:i/>
          <w:iCs/>
          <w:color w:val="666666"/>
          <w:sz w:val="18"/>
          <w:szCs w:val="18"/>
        </w:rPr>
        <w:t xml:space="preserve">Buckeye Wealth Partners LLC  |  CRD# 126428  |  203 W Franklin St, Dayton, OH 45459  |  (937) 434-1790</w:t>
      </w:r>
    </w:p>
    <w:p>
      <w:pPr>
        <w:spacing w:after="120" w:before="60"/>
        <w:jc w:val="center"/>
      </w:pPr>
      <w:r>
        <w:rPr>
          <w:rFonts w:ascii="Arial" w:cs="Arial" w:eastAsia="Arial" w:hAnsi="Arial"/>
          <w:i/>
          <w:iCs/>
          <w:color w:val="666666"/>
          <w:sz w:val="18"/>
          <w:szCs w:val="18"/>
        </w:rPr>
        <w:t xml:space="preserve">Maintained pursuant to OAC 1301:6-3-15.1(E)(1)(r)–(s) and Regulation S-P (17 CFR Part 248).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Cybersecurity &amp; Data Protection Policy  |  v.04.2026</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pPr>
      <w:keepNext/>
      <w:keepLines/>
    </w:pPr>
    <w:basedOn w:val="Normal"/>
    <w:next w:val="Normal"/>
    <w:qFormat/>
    <w:rPr>
      <w:color w:val="2E74B5"/>
      <w:sz w:val="32"/>
      <w:szCs w:val="32"/>
    </w:rPr>
  </w:style>
  <w:style w:type="paragraph" w:styleId="Heading2">
    <w:name w:val="Heading 2"/>
    <w:pPr>
      <w:keepNext/>
      <w:keepLines/>
    </w:pPr>
    <w:basedOn w:val="Normal"/>
    <w:next w:val="Normal"/>
    <w:qFormat/>
    <w:rPr>
      <w:color w:val="2E74B5"/>
      <w:sz w:val="26"/>
      <w:szCs w:val="26"/>
    </w:rPr>
  </w:style>
  <w:style w:type="paragraph" w:styleId="Heading3">
    <w:name w:val="Heading 3"/>
    <w:pPr>
      <w:keepNext/>
      <w:keepLines/>
    </w:pPr>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2026-04-13T13:43:48.943Z</dcterms:created>
  <dcterms:modified xsi:type="dcterms:W3CDTF">2026-04-13T13:43:48.943Z</dcterms:modified>
</cp:coreProperties>
</file>

<file path=docProps/custom.xml><?xml version="1.0" encoding="utf-8"?>
<Properties xmlns="http://schemas.openxmlformats.org/officeDocument/2006/custom-properties" xmlns:vt="http://schemas.openxmlformats.org/officeDocument/2006/docPropsVTypes"/>
</file>