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sz w:val="2"/>
          <w:szCs w:val="2"/>
        </w:rPr>
        <w:t xml:space="preserve"/>
      </w:r>
    </w:p>
    <w:p>
      <w:pPr>
        <w:keepNext/>
        <w:keepLines/>
        <w:spacing w:after="100" w:before="0"/>
        <w:jc w:val="center"/>
      </w:pPr>
      <w:r>
        <w:rPr>
          <w:rFonts w:ascii="Arial" w:cs="Arial" w:eastAsia="Arial" w:hAnsi="Arial"/>
          <w:b/>
          <w:bCs/>
          <w:color w:val="1B3A5C"/>
          <w:sz w:val="36"/>
          <w:szCs w:val="36"/>
        </w:rPr>
        <w:t xml:space="preserve">BUCKEYE WEALTH PARTNERS LLC</w:t>
      </w:r>
    </w:p>
    <w:p>
      <w:pPr>
        <w:keepNext/>
        <w:keepLines/>
        <w:spacing w:after="80" w:before="0"/>
        <w:jc w:val="center"/>
      </w:pPr>
      <w:r>
        <w:rPr>
          <w:rFonts w:ascii="Arial" w:cs="Arial" w:eastAsia="Arial" w:hAnsi="Arial"/>
          <w:b/>
          <w:bCs/>
          <w:color w:val="1B3A5C"/>
          <w:sz w:val="32"/>
          <w:szCs w:val="32"/>
        </w:rPr>
        <w:t xml:space="preserve">Wealth Management Agreement</w:t>
      </w:r>
    </w:p>
    <w:p>
      <w:pPr>
        <w:spacing w:after="60" w:before="0"/>
        <w:jc w:val="center"/>
      </w:pPr>
      <w:r>
        <w:rPr>
          <w:rFonts w:ascii="Arial" w:cs="Arial" w:eastAsia="Arial" w:hAnsi="Arial"/>
          <w:color w:val="666666"/>
          <w:sz w:val="22"/>
          <w:szCs w:val="22"/>
        </w:rPr>
        <w:t xml:space="preserve">Version v.04.2026  |  Effective Date: April 13, 2026</w:t>
      </w:r>
    </w:p>
    <w:p>
      <w:pPr>
        <w:spacing w:after="200" w:before="0"/>
        <w:jc w:val="center"/>
      </w:pPr>
      <w:r>
        <w:rPr>
          <w:rFonts w:ascii="Arial" w:cs="Arial" w:eastAsia="Arial" w:hAnsi="Arial"/>
          <w:color w:val="666666"/>
          <w:sz w:val="22"/>
          <w:szCs w:val="22"/>
        </w:rPr>
        <w:t xml:space="preserve">203 W Franklin St, Dayton, OH 45459  |  (937) 434-1790  |  CRD# 126428</w:t>
      </w:r>
    </w:p>
    <w:p>
      <w:pPr>
        <w:pBdr>
          <w:bottom w:val="single" w:color="CCCCCC" w:sz="4"/>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1B3A5C" w:sz="8"/>
              <w:left w:val="single" w:color="1B3A5C" w:sz="8"/>
              <w:bottom w:val="single" w:color="1B3A5C" w:sz="8"/>
              <w:right w:val="single" w:color="1B3A5C" w:sz="8"/>
            </w:tcBorders>
            <w:shd w:fill="F5F7FA" w:color="F5F7FA" w:val="clear"/>
            <w:tcMar>
              <w:top w:type="dxa" w:w="120"/>
              <w:left w:type="dxa" w:w="180"/>
              <w:bottom w:type="dxa" w:w="120"/>
              <w:right w:type="dxa" w:w="180"/>
            </w:tcMar>
          </w:tcPr>
          <w:p>
            <w:pPr>
              <w:spacing w:after="80" w:before="80"/>
            </w:pPr>
            <w:r>
              <w:rPr>
                <w:rFonts w:ascii="Arial" w:cs="Arial" w:eastAsia="Arial" w:hAnsi="Arial"/>
                <w:i/>
                <w:iCs/>
                <w:color w:val="1A1A1A"/>
                <w:sz w:val="22"/>
                <w:szCs w:val="22"/>
              </w:rPr>
              <w:t xml:space="preserve">CONFIDENTIAL — This Agreement is intended solely for the named Client(s). It contains non-public financial information and constitutes a legally binding contract between the Client and Buckeye Wealth Partners LLC, an Ohio state-registered investment adviser (CRD# 126428). Do not distribute without authorization.</w:t>
            </w:r>
          </w:p>
        </w:tc>
      </w:tr>
    </w:tbl>
    <w:p>
      <w:pPr>
        <w:spacing w:after="240"/>
      </w:pPr>
      <w:r>
        <w:rPr>
          <w:sz w:val="2"/>
          <w:szCs w:val="2"/>
        </w:rPr>
        <w:t xml:space="preserve"/>
      </w:r>
    </w:p>
    <w:p>
      <w:pPr>
        <w:spacing w:after="120" w:before="0" w:line="276" w:lineRule="auto"/>
      </w:pPr>
      <w:r>
        <w:rPr>
          <w:rFonts w:ascii="Arial" w:cs="Arial" w:eastAsia="Arial" w:hAnsi="Arial"/>
          <w:color w:val="1A1A1A"/>
          <w:sz w:val="24"/>
          <w:szCs w:val="24"/>
        </w:rPr>
        <w:t xml:space="preserve">THIS WEALTH MANAGEMENT AGREEMENT, related schedule(s) (collectively the “Agreement”) is between Buckeye Wealth Partners, LLC (the “Advisor” or “BWP”) and the undersigned client(s) (the “Client”). Client and Advisor are each referred to as a “Party,” and collectively they are the “Parties.” The Agreement shall be effective as of the date last signed by a Party (“Effective Date”). By signing this Agreement, the Client acknowledges engaging the Advisor to provide the advisory services.</w:t>
      </w:r>
    </w:p>
    <w:p>
      <w:pPr>
        <w:spacing w:after="60"/>
      </w:pPr>
      <w:r>
        <w:rPr>
          <w:sz w:val="2"/>
          <w:szCs w:val="2"/>
        </w:rPr>
        <w:t xml:space="preserve"/>
      </w:r>
    </w:p>
    <w:p>
      <w:pPr>
        <w:keepNext/>
        <w:keepLines/>
        <w:pBdr>
          <w:bottom w:val="single" w:color="1B3A5C" w:sz="6"/>
        </w:pBdr>
        <w:spacing w:after="160" w:before="360"/>
      </w:pPr>
      <w:r>
        <w:rPr>
          <w:rFonts w:ascii="Arial" w:cs="Arial" w:eastAsia="Arial" w:hAnsi="Arial"/>
          <w:b/>
          <w:bCs/>
          <w:color w:val="1B3A5C"/>
          <w:sz w:val="32"/>
          <w:szCs w:val="32"/>
        </w:rPr>
        <w:t xml:space="preserve">Services</w:t>
      </w:r>
    </w:p>
    <w:p>
      <w:pPr>
        <w:spacing w:after="120" w:before="0" w:line="276" w:lineRule="auto"/>
      </w:pPr>
      <w:r>
        <w:rPr>
          <w:rFonts w:ascii="Arial" w:cs="Arial" w:eastAsia="Arial" w:hAnsi="Arial"/>
          <w:color w:val="1A1A1A"/>
          <w:sz w:val="24"/>
          <w:szCs w:val="24"/>
        </w:rPr>
        <w:t xml:space="preserve">The Client hereby retains the Advisor and the Advisor hereby agrees to provide investment management services with respect to certain assets of the Client (the “Portfolio” or “Account(s)”) in accordance with the terms and conditions set forth herein. The Advisor will determine a target Portfolio allocation between various asset classes (such as stocks, bonds, mutual funds, ETFs, U.S. government and municipal securities, and other securities) that is designed to be consistent with the investment objectives communicated by the Client to the Advisor and documented in an Investment Policy Statement and Risk Questionnaire. The Advisor will periodically review the Portfolio and implement changes that the Advisor deems appropriate. The Advisor may change the target asset class allocations, and/or the specific assets held in the Portfolio.</w:t>
      </w:r>
    </w:p>
    <w:p>
      <w:pPr>
        <w:spacing w:after="60"/>
      </w:pPr>
      <w:r>
        <w:rPr>
          <w:sz w:val="2"/>
          <w:szCs w:val="2"/>
        </w:rPr>
        <w:t xml:space="preserve"/>
      </w:r>
    </w:p>
    <w:p>
      <w:pPr>
        <w:spacing w:after="120" w:before="0" w:line="276" w:lineRule="auto"/>
      </w:pPr>
      <w:r>
        <w:rPr>
          <w:rFonts w:ascii="Arial" w:cs="Arial" w:eastAsia="Arial" w:hAnsi="Arial"/>
          <w:b/>
          <w:bCs/>
          <w:color w:val="1A1A1A"/>
          <w:sz w:val="24"/>
          <w:szCs w:val="24"/>
        </w:rPr>
        <w:t xml:space="preserve">Financial Planning Services: </w:t>
      </w:r>
      <w:r>
        <w:rPr>
          <w:rFonts w:ascii="Arial" w:cs="Arial" w:eastAsia="Arial" w:hAnsi="Arial"/>
          <w:color w:val="1A1A1A"/>
          <w:sz w:val="24"/>
          <w:szCs w:val="24"/>
        </w:rPr>
        <w:t xml:space="preserve">At no additional fee to wealth management clients, and at the Client’s election, Advisor also provides the Client with a financial plan. This financial planning service is included as part of the Advisor’s comprehensive wealth management engagement and is not a standalone financial planning engagement. Clients retaining Advisor solely for financial planning are subject to separate fee arrangements as described in the Advisor’s Form ADV Part 2A. Clients will be taken through establishing their goals and values around money and will be required to provide pertinent information to help complete areas of analysis including net worth, cash flow, insurance, retirement planning, investments, tax planning, and estate planning. Clients will receive a financial plan designed to help achieve their stated financial goals and objectives, and the plan will be monitored throughout the year.</w:t>
      </w:r>
    </w:p>
    <w:p>
      <w:pPr>
        <w:spacing w:after="60"/>
      </w:pPr>
      <w:r>
        <w:rPr>
          <w:sz w:val="2"/>
          <w:szCs w:val="2"/>
        </w:rPr>
        <w:t xml:space="preserve"/>
      </w:r>
    </w:p>
    <w:p>
      <w:pPr>
        <w:keepNext/>
        <w:keepLines/>
        <w:pBdr>
          <w:bottom w:val="single" w:color="1B3A5C" w:sz="6"/>
        </w:pBdr>
        <w:spacing w:after="160" w:before="360"/>
      </w:pPr>
      <w:r>
        <w:rPr>
          <w:rFonts w:ascii="Arial" w:cs="Arial" w:eastAsia="Arial" w:hAnsi="Arial"/>
          <w:b/>
          <w:bCs/>
          <w:color w:val="1B3A5C"/>
          <w:sz w:val="32"/>
          <w:szCs w:val="32"/>
        </w:rPr>
        <w:t xml:space="preserve">Fiduciary Duty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1B3A5C" w:sz="8"/>
              <w:left w:val="single" w:color="1B3A5C" w:sz="8"/>
              <w:bottom w:val="single" w:color="1B3A5C" w:sz="8"/>
              <w:right w:val="single" w:color="1B3A5C" w:sz="8"/>
            </w:tcBorders>
            <w:shd w:fill="F5F7FA" w:color="F5F7FA" w:val="clear"/>
            <w:tcMar>
              <w:top w:type="dxa" w:w="120"/>
              <w:left w:type="dxa" w:w="180"/>
              <w:bottom w:type="dxa" w:w="120"/>
              <w:right w:type="dxa" w:w="180"/>
            </w:tcMar>
          </w:tcPr>
          <w:p>
            <w:pPr>
              <w:spacing w:after="80" w:before="80"/>
            </w:pPr>
            <w:r>
              <w:rPr>
                <w:rFonts w:ascii="Arial" w:cs="Arial" w:eastAsia="Arial" w:hAnsi="Arial"/>
                <w:i/>
                <w:iCs/>
                <w:color w:val="1A1A1A"/>
                <w:sz w:val="22"/>
                <w:szCs w:val="22"/>
              </w:rPr>
              <w:t xml:space="preserve">BWP is a fiduciary to the Client. As an Ohio state-registered investment adviser, Advisor owes the Client a fiduciary duty, which comprises a duty of care and a duty of loyalty. This means the Advisor must, at all times, serve the best interest of its clients and not subordinate its client’s interest to its own. The Advisor shall provide full and fair disclosure of all material facts and conflicts of interest. When an advisor provides investment advice to a participant in an ERISA-covered plan, he or she acts as a fiduciary with regard to that participant and is subject to the fiduciary duty provisions under section 404 of ERISA. Please refer to BWP’s Form ADV Part 2A for further disclosure regarding fiduciary obligations and conflicts of interest.</w:t>
            </w:r>
          </w:p>
        </w:tc>
      </w:tr>
    </w:tbl>
    <w:p>
      <w:pPr>
        <w:spacing w:after="120"/>
      </w:pPr>
      <w:r>
        <w:rPr>
          <w:sz w:val="2"/>
          <w:szCs w:val="2"/>
        </w:rPr>
        <w:t xml:space="preserve"/>
      </w:r>
    </w:p>
    <w:p>
      <w:pPr>
        <w:keepNext/>
        <w:keepLines/>
        <w:pBdr>
          <w:bottom w:val="single" w:color="1B3A5C" w:sz="6"/>
        </w:pBdr>
        <w:spacing w:after="160" w:before="360"/>
      </w:pPr>
      <w:r>
        <w:rPr>
          <w:rFonts w:ascii="Arial" w:cs="Arial" w:eastAsia="Arial" w:hAnsi="Arial"/>
          <w:b/>
          <w:bCs/>
          <w:color w:val="1B3A5C"/>
          <w:sz w:val="32"/>
          <w:szCs w:val="32"/>
        </w:rPr>
        <w:t xml:space="preserve">Discretionary Trading Authority</w:t>
      </w:r>
    </w:p>
    <w:p>
      <w:pPr>
        <w:spacing w:after="120" w:before="0" w:line="276" w:lineRule="auto"/>
      </w:pPr>
      <w:r>
        <w:rPr>
          <w:rFonts w:ascii="Arial" w:cs="Arial" w:eastAsia="Arial" w:hAnsi="Arial"/>
          <w:color w:val="1A1A1A"/>
          <w:sz w:val="24"/>
          <w:szCs w:val="24"/>
        </w:rPr>
        <w:t xml:space="preserve">The Advisor has discretionary authority and limited power of attorney to buy, sell, or otherwise effect investment transactions for the Portfolio without having to obtain prior Client approval for each transaction. This authority can be revoked by the Client at any time with written notice to the Advisor. The Client may request reasonable restrictions on the management of the Portfolio. Any such request must be in writing and agreed upon by the Advisor.</w:t>
      </w:r>
    </w:p>
    <w:p>
      <w:pPr>
        <w:spacing w:after="60"/>
      </w:pPr>
      <w:r>
        <w:rPr>
          <w:sz w:val="2"/>
          <w:szCs w:val="2"/>
        </w:rPr>
        <w:t xml:space="preserve"/>
      </w:r>
    </w:p>
    <w:p>
      <w:pPr>
        <w:spacing w:after="120" w:before="0" w:line="276" w:lineRule="auto"/>
      </w:pPr>
      <w:r>
        <w:rPr>
          <w:rFonts w:ascii="Arial" w:cs="Arial" w:eastAsia="Arial" w:hAnsi="Arial"/>
          <w:b/>
          <w:bCs/>
          <w:color w:val="1A1A1A"/>
          <w:sz w:val="24"/>
          <w:szCs w:val="24"/>
        </w:rPr>
        <w:t xml:space="preserve">Client Acknowledgment: </w:t>
      </w:r>
      <w:r>
        <w:rPr>
          <w:rFonts w:ascii="Arial" w:cs="Arial" w:eastAsia="Arial" w:hAnsi="Arial"/>
          <w:color w:val="1A1A1A"/>
          <w:sz w:val="24"/>
          <w:szCs w:val="24"/>
        </w:rPr>
        <w:t xml:space="preserve">By signing this Agreement, Client acknowledges and accepts discretionary trading authority as described above.</w:t>
      </w:r>
    </w:p>
    <w:p>
      <w:pPr>
        <w:spacing w:after="120" w:before="80"/>
      </w:pPr>
      <w:r>
        <w:rPr>
          <w:rFonts w:ascii="Arial" w:cs="Arial" w:eastAsia="Arial" w:hAnsi="Arial"/>
          <w:color w:val="1A1A1A"/>
          <w:sz w:val="24"/>
          <w:szCs w:val="24"/>
        </w:rPr>
        <w:t xml:space="preserve">Client 1 Initials: ____/____       Client 2 Initials (if applicable): ____/____</w:t>
      </w:r>
    </w:p>
    <w:p>
      <w:pPr>
        <w:keepNext/>
        <w:keepLines/>
        <w:pBdr>
          <w:bottom w:val="single" w:color="1B3A5C" w:sz="6"/>
        </w:pBdr>
        <w:spacing w:after="160" w:before="360"/>
      </w:pPr>
      <w:r>
        <w:rPr>
          <w:rFonts w:ascii="Arial" w:cs="Arial" w:eastAsia="Arial" w:hAnsi="Arial"/>
          <w:b/>
          <w:bCs/>
          <w:color w:val="1B3A5C"/>
          <w:sz w:val="32"/>
          <w:szCs w:val="32"/>
        </w:rPr>
        <w:t xml:space="preserve">Fees</w:t>
      </w:r>
    </w:p>
    <w:p>
      <w:pPr>
        <w:spacing w:after="120" w:before="0" w:line="276" w:lineRule="auto"/>
      </w:pPr>
      <w:r>
        <w:rPr>
          <w:rFonts w:ascii="Arial" w:cs="Arial" w:eastAsia="Arial" w:hAnsi="Arial"/>
          <w:color w:val="1A1A1A"/>
          <w:sz w:val="24"/>
          <w:szCs w:val="24"/>
        </w:rPr>
        <w:t xml:space="preserve">The fees for services under this Agreement shall be calculated and paid in accordance with the fee schedule set forth in Schedule A. No increase in the annual fee schedule shall be effective without prior written Client consent.</w:t>
      </w:r>
    </w:p>
    <w:p>
      <w:pPr>
        <w:spacing w:after="60"/>
      </w:pPr>
      <w:r>
        <w:rPr>
          <w:sz w:val="2"/>
          <w:szCs w:val="2"/>
        </w:rPr>
        <w:t xml:space="preserve"/>
      </w:r>
    </w:p>
    <w:p>
      <w:pPr>
        <w:keepNext/>
        <w:keepLines/>
        <w:pBdr>
          <w:bottom w:val="single" w:color="1B3A5C" w:sz="6"/>
        </w:pBdr>
        <w:spacing w:after="160" w:before="360"/>
      </w:pPr>
      <w:r>
        <w:rPr>
          <w:rFonts w:ascii="Arial" w:cs="Arial" w:eastAsia="Arial" w:hAnsi="Arial"/>
          <w:b/>
          <w:bCs/>
          <w:color w:val="1B3A5C"/>
          <w:sz w:val="32"/>
          <w:szCs w:val="32"/>
        </w:rPr>
        <w:t xml:space="preserve">Fee Deduction</w:t>
      </w:r>
    </w:p>
    <w:p>
      <w:pPr>
        <w:spacing w:after="120" w:before="0" w:line="276" w:lineRule="auto"/>
      </w:pPr>
      <w:r>
        <w:rPr>
          <w:rFonts w:ascii="Arial" w:cs="Arial" w:eastAsia="Arial" w:hAnsi="Arial"/>
          <w:color w:val="1A1A1A"/>
          <w:sz w:val="24"/>
          <w:szCs w:val="24"/>
        </w:rPr>
        <w:t xml:space="preserve">Client authorizes Advisor, in conjunction with the Qualified Custodian, to deduct advisory fees from Client’s Account(s). In jurisdictions where required, Advisor will send the Client an itemized invoice. Itemization includes the formula used to calculate the fee, the amount of assets under management the fee is based on, and the time period covered by the fee. If the Account(s) does not maintain sufficient cash or money market balance to pay advisory fees, securities held in the Account(s) may be liquidated to cover advisory fees owed.</w:t>
      </w:r>
    </w:p>
    <w:p>
      <w:pPr>
        <w:spacing w:after="60"/>
      </w:pPr>
      <w:r>
        <w:rPr>
          <w:sz w:val="2"/>
          <w:szCs w:val="2"/>
        </w:rPr>
        <w:t xml:space="preserve"/>
      </w:r>
    </w:p>
    <w:p>
      <w:pPr>
        <w:keepNext/>
        <w:keepLines/>
        <w:pBdr>
          <w:bottom w:val="single" w:color="1B3A5C" w:sz="6"/>
        </w:pBdr>
        <w:spacing w:after="160" w:before="360"/>
      </w:pPr>
      <w:r>
        <w:rPr>
          <w:rFonts w:ascii="Arial" w:cs="Arial" w:eastAsia="Arial" w:hAnsi="Arial"/>
          <w:b/>
          <w:bCs/>
          <w:color w:val="1B3A5C"/>
          <w:sz w:val="32"/>
          <w:szCs w:val="32"/>
        </w:rPr>
        <w:t xml:space="preserve">Custody of Assets</w:t>
      </w:r>
    </w:p>
    <w:p>
      <w:pPr>
        <w:spacing w:after="120" w:before="0" w:line="276" w:lineRule="auto"/>
      </w:pPr>
      <w:r>
        <w:rPr>
          <w:rFonts w:ascii="Arial" w:cs="Arial" w:eastAsia="Arial" w:hAnsi="Arial"/>
          <w:color w:val="1A1A1A"/>
          <w:sz w:val="24"/>
          <w:szCs w:val="24"/>
        </w:rPr>
        <w:t xml:space="preserve">The Client’s Account(s) shall be established at an independent, third-party Qualified Custodian as approved by Client (the “Custodian”). The primary custodian for BWP client accounts is Altruist Financial, LLC (CRD# 299274). Goldman Sachs Custody Solutions may also serve as custodian for certain accounts. The Custodian shall hold Client’s assets and execute transactions in the Account(s). The Client understands that the Advisor shall not be responsible for any loss incurred by reason of any act or omission of the Custodian or any other party, to the extent permitted by law.</w:t>
      </w:r>
    </w:p>
    <w:p>
      <w:pPr>
        <w:spacing w:after="60"/>
      </w:pPr>
      <w:r>
        <w:rPr>
          <w:sz w:val="2"/>
          <w:szCs w:val="2"/>
        </w:rPr>
        <w:t xml:space="preserve"/>
      </w:r>
    </w:p>
    <w:p>
      <w:pPr>
        <w:spacing w:after="120" w:before="0" w:line="276" w:lineRule="auto"/>
      </w:pPr>
      <w:r>
        <w:rPr>
          <w:rFonts w:ascii="Arial" w:cs="Arial" w:eastAsia="Arial" w:hAnsi="Arial"/>
          <w:color w:val="1A1A1A"/>
          <w:sz w:val="24"/>
          <w:szCs w:val="24"/>
        </w:rPr>
        <w:t xml:space="preserve">The Custodian shall send confirmations and monthly or quarterly account statements directly to the Client. Such statements shall, at a minimum, include identification of the amount of funds and each security in the Client’s Account(s) at the end of the statement period and set forth all of the activity in the Account(s) during the period. It is highly recommended that the Client review the Account(s) statements provided by the Custodian and compare them against any supplementary reports provided by the Advisor. Should Client notice any discrepancies, fail to receive timely statements, or have any questions, Client should contact Advisor immediately.</w:t>
      </w:r>
    </w:p>
    <w:p>
      <w:pPr>
        <w:spacing w:after="60"/>
      </w:pPr>
      <w:r>
        <w:rPr>
          <w:sz w:val="2"/>
          <w:szCs w:val="2"/>
        </w:rPr>
        <w:t xml:space="preserve"/>
      </w:r>
    </w:p>
    <w:p>
      <w:pPr>
        <w:spacing w:after="120" w:before="0" w:line="276" w:lineRule="auto"/>
      </w:pPr>
      <w:r>
        <w:rPr>
          <w:rFonts w:ascii="Arial" w:cs="Arial" w:eastAsia="Arial" w:hAnsi="Arial"/>
          <w:b/>
          <w:bCs/>
          <w:color w:val="1A1A1A"/>
          <w:sz w:val="24"/>
          <w:szCs w:val="24"/>
        </w:rPr>
        <w:t xml:space="preserve">Standing Letters of Authorization / Deemed Custody: </w:t>
      </w:r>
      <w:r>
        <w:rPr>
          <w:rFonts w:ascii="Arial" w:cs="Arial" w:eastAsia="Arial" w:hAnsi="Arial"/>
          <w:color w:val="1A1A1A"/>
          <w:sz w:val="24"/>
          <w:szCs w:val="24"/>
        </w:rPr>
        <w:t xml:space="preserve">BWP does not maintain deemed custody over Client assets. All Client funds and securities are held by the qualified Custodian. BWP does not accept checks made payable to BWP from clients and does not serve as custodian in any capacity. If the Client grants third-party disbursement authority via a Standing Letter of Authorization (“SLOI”), such authority is subject to Custodian verification procedures. Clients with questions about custody arrangements should contact Advisor.</w:t>
      </w:r>
    </w:p>
    <w:p>
      <w:pPr>
        <w:spacing w:after="60"/>
      </w:pPr>
      <w:r>
        <w:rPr>
          <w:sz w:val="2"/>
          <w:szCs w:val="2"/>
        </w:rPr>
        <w:t xml:space="preserve"/>
      </w:r>
    </w:p>
    <w:p>
      <w:pPr>
        <w:keepNext/>
        <w:keepLines/>
        <w:pBdr>
          <w:bottom w:val="single" w:color="1B3A5C" w:sz="6"/>
        </w:pBdr>
        <w:spacing w:after="160" w:before="360"/>
      </w:pPr>
      <w:r>
        <w:rPr>
          <w:rFonts w:ascii="Arial" w:cs="Arial" w:eastAsia="Arial" w:hAnsi="Arial"/>
          <w:b/>
          <w:bCs/>
          <w:color w:val="1B3A5C"/>
          <w:sz w:val="32"/>
          <w:szCs w:val="32"/>
        </w:rPr>
        <w:t xml:space="preserve">Valuation</w:t>
      </w:r>
    </w:p>
    <w:p>
      <w:pPr>
        <w:spacing w:after="120" w:before="0" w:line="276" w:lineRule="auto"/>
      </w:pPr>
      <w:r>
        <w:rPr>
          <w:rFonts w:ascii="Arial" w:cs="Arial" w:eastAsia="Arial" w:hAnsi="Arial"/>
          <w:color w:val="1A1A1A"/>
          <w:sz w:val="24"/>
          <w:szCs w:val="24"/>
        </w:rPr>
        <w:t xml:space="preserve">All valuations will be performed by the Custodian and relied upon by Advisor. No valuation shall be deemed a guarantee of any kind whatsoever with respect to the value of the assets of the Portfolio or any security. The Client will receive statements from the Custodian valuing the investment positions of the Portfolio on not less than a quarterly basis.</w:t>
      </w:r>
    </w:p>
    <w:p>
      <w:pPr>
        <w:spacing w:after="60"/>
      </w:pPr>
      <w:r>
        <w:rPr>
          <w:sz w:val="2"/>
          <w:szCs w:val="2"/>
        </w:rPr>
        <w:t xml:space="preserve"/>
      </w:r>
    </w:p>
    <w:p>
      <w:pPr>
        <w:keepNext/>
        <w:keepLines/>
        <w:pBdr>
          <w:bottom w:val="single" w:color="1B3A5C" w:sz="6"/>
        </w:pBdr>
        <w:spacing w:after="160" w:before="360"/>
      </w:pPr>
      <w:r>
        <w:rPr>
          <w:rFonts w:ascii="Arial" w:cs="Arial" w:eastAsia="Arial" w:hAnsi="Arial"/>
          <w:b/>
          <w:bCs/>
          <w:color w:val="1B3A5C"/>
          <w:sz w:val="32"/>
          <w:szCs w:val="32"/>
        </w:rPr>
        <w:t xml:space="preserve">Other Fees and Expenses</w:t>
      </w:r>
    </w:p>
    <w:p>
      <w:pPr>
        <w:spacing w:after="120" w:before="0" w:line="276" w:lineRule="auto"/>
      </w:pPr>
      <w:r>
        <w:rPr>
          <w:rFonts w:ascii="Arial" w:cs="Arial" w:eastAsia="Arial" w:hAnsi="Arial"/>
          <w:color w:val="1A1A1A"/>
          <w:sz w:val="24"/>
          <w:szCs w:val="24"/>
        </w:rPr>
        <w:t xml:space="preserve">The Client may incur certain charges imposed by third parties such as custodial fees, deferred sales charges, odd-lot differentials, transfer taxes, wire transfer and electronic fund fees, and other fees and taxes on brokerage accounts and securities transactions. Mutual fund and exchange traded funds also charge internal management fees, which are disclosed in a fund’s prospectus. Such charges, fees and commissions are exclusive of and in addition to BWP’s fee, and BWP shall not receive any portion of these commissions, fees, and costs.</w:t>
      </w:r>
    </w:p>
    <w:p>
      <w:pPr>
        <w:spacing w:after="60"/>
      </w:pPr>
      <w:r>
        <w:rPr>
          <w:sz w:val="2"/>
          <w:szCs w:val="2"/>
        </w:rPr>
        <w:t xml:space="preserve"/>
      </w:r>
    </w:p>
    <w:p>
      <w:pPr>
        <w:keepNext/>
        <w:keepLines/>
        <w:pBdr>
          <w:bottom w:val="single" w:color="1B3A5C" w:sz="6"/>
        </w:pBdr>
        <w:spacing w:after="160" w:before="360"/>
      </w:pPr>
      <w:r>
        <w:rPr>
          <w:rFonts w:ascii="Arial" w:cs="Arial" w:eastAsia="Arial" w:hAnsi="Arial"/>
          <w:b/>
          <w:bCs/>
          <w:color w:val="1B3A5C"/>
          <w:sz w:val="32"/>
          <w:szCs w:val="32"/>
        </w:rPr>
        <w:t xml:space="preserve">Client Responsibilities</w:t>
      </w:r>
    </w:p>
    <w:p>
      <w:pPr>
        <w:spacing w:after="120" w:before="0" w:line="276" w:lineRule="auto"/>
      </w:pPr>
      <w:r>
        <w:rPr>
          <w:rFonts w:ascii="Arial" w:cs="Arial" w:eastAsia="Arial" w:hAnsi="Arial"/>
          <w:color w:val="1A1A1A"/>
          <w:sz w:val="24"/>
          <w:szCs w:val="24"/>
        </w:rPr>
        <w:t xml:space="preserve">The Client is responsible for providing the Advisor with information and/or documentation requested by the Advisor as it pertains to the Client’s objectives, needs, goals, and any other information in order for the Advisor to perform its duties under this Agreement. The Client is responsible for notifying the Advisor if the information provided changes or becomes inaccurate at any time. The Client acknowledges the Advisor is unable to perform services adequately for the Client unless the Client fulfills these responsibilities diligently. The Advisor will not be required to verify any information obtained from the Client, Client’s attorney, accountant or other professionals.</w:t>
      </w:r>
    </w:p>
    <w:p>
      <w:pPr>
        <w:spacing w:after="60"/>
      </w:pPr>
      <w:r>
        <w:rPr>
          <w:sz w:val="2"/>
          <w:szCs w:val="2"/>
        </w:rPr>
        <w:t xml:space="preserve"/>
      </w:r>
    </w:p>
    <w:p>
      <w:pPr>
        <w:keepNext/>
        <w:keepLines/>
        <w:pBdr>
          <w:bottom w:val="single" w:color="1B3A5C" w:sz="6"/>
        </w:pBdr>
        <w:spacing w:after="160" w:before="360"/>
      </w:pPr>
      <w:r>
        <w:rPr>
          <w:rFonts w:ascii="Arial" w:cs="Arial" w:eastAsia="Arial" w:hAnsi="Arial"/>
          <w:b/>
          <w:bCs/>
          <w:color w:val="1B3A5C"/>
          <w:sz w:val="32"/>
          <w:szCs w:val="32"/>
        </w:rPr>
        <w:t xml:space="preserve">Client Conflicts</w:t>
      </w:r>
    </w:p>
    <w:p>
      <w:pPr>
        <w:spacing w:after="120" w:before="0" w:line="276" w:lineRule="auto"/>
      </w:pPr>
      <w:r>
        <w:rPr>
          <w:rFonts w:ascii="Arial" w:cs="Arial" w:eastAsia="Arial" w:hAnsi="Arial"/>
          <w:color w:val="1A1A1A"/>
          <w:sz w:val="24"/>
          <w:szCs w:val="24"/>
        </w:rPr>
        <w:t xml:space="preserve">If this Agreement is with more than one individual client, our services shall be based upon the joint goals as communicated to us by the clients, collectively. Advisor shall be permitted to rely upon instructions and/or information BWP received from either party, unless and until such reliance is revoked in writing. BWP shall not be responsible for any claims or damages resulting from such reliance or from any change in the status of the relationship between clients.</w:t>
      </w:r>
    </w:p>
    <w:p>
      <w:pPr>
        <w:spacing w:after="60"/>
      </w:pPr>
      <w:r>
        <w:rPr>
          <w:sz w:val="2"/>
          <w:szCs w:val="2"/>
        </w:rPr>
        <w:t xml:space="preserve"/>
      </w:r>
    </w:p>
    <w:p>
      <w:pPr>
        <w:keepNext/>
        <w:keepLines/>
        <w:pBdr>
          <w:bottom w:val="single" w:color="1B3A5C" w:sz="6"/>
        </w:pBdr>
        <w:spacing w:after="160" w:before="360"/>
      </w:pPr>
      <w:r>
        <w:rPr>
          <w:rFonts w:ascii="Arial" w:cs="Arial" w:eastAsia="Arial" w:hAnsi="Arial"/>
          <w:b/>
          <w:bCs/>
          <w:color w:val="1B3A5C"/>
          <w:sz w:val="32"/>
          <w:szCs w:val="32"/>
        </w:rPr>
        <w:t xml:space="preserve">Nonexclusive Management</w:t>
      </w:r>
    </w:p>
    <w:p>
      <w:pPr>
        <w:spacing w:after="120" w:before="0" w:line="276" w:lineRule="auto"/>
      </w:pPr>
      <w:r>
        <w:rPr>
          <w:rFonts w:ascii="Arial" w:cs="Arial" w:eastAsia="Arial" w:hAnsi="Arial"/>
          <w:color w:val="1A1A1A"/>
          <w:sz w:val="24"/>
          <w:szCs w:val="24"/>
        </w:rPr>
        <w:t xml:space="preserve">The Client acknowledges that the Advisor and its access persons may have or take the same or similar positions in specific investments for their own accounts or for the accounts of other clients. The Client expressly acknowledges and understands that Advisor is free to render investment management services to others. Nothing in this Agreement imposes on Advisor any obligation to purchase, sell, or recommend for purchase or sale for the Portfolio any security that Advisor, its principals, affiliates, or employees may purchase or sell for their own accounts or for the account of any other Client if, in the reasonable opinion of Advisor, such investment would be unsuitable for the Portfolio or impractical or undesirable.</w:t>
      </w:r>
    </w:p>
    <w:p>
      <w:pPr>
        <w:spacing w:after="60"/>
      </w:pPr>
      <w:r>
        <w:rPr>
          <w:sz w:val="2"/>
          <w:szCs w:val="2"/>
        </w:rPr>
        <w:t xml:space="preserve"/>
      </w:r>
    </w:p>
    <w:p>
      <w:pPr>
        <w:keepNext/>
        <w:keepLines/>
        <w:pBdr>
          <w:bottom w:val="single" w:color="1B3A5C" w:sz="6"/>
        </w:pBdr>
        <w:spacing w:after="160" w:before="360"/>
      </w:pPr>
      <w:r>
        <w:rPr>
          <w:rFonts w:ascii="Arial" w:cs="Arial" w:eastAsia="Arial" w:hAnsi="Arial"/>
          <w:b/>
          <w:bCs/>
          <w:color w:val="1B3A5C"/>
          <w:sz w:val="32"/>
          <w:szCs w:val="32"/>
        </w:rPr>
        <w:t xml:space="preserve">Voting Proxies</w:t>
      </w:r>
    </w:p>
    <w:p>
      <w:pPr>
        <w:spacing w:after="120" w:before="0" w:line="276" w:lineRule="auto"/>
      </w:pPr>
      <w:r>
        <w:rPr>
          <w:rFonts w:ascii="Arial" w:cs="Arial" w:eastAsia="Arial" w:hAnsi="Arial"/>
          <w:color w:val="1A1A1A"/>
          <w:sz w:val="24"/>
          <w:szCs w:val="24"/>
        </w:rPr>
        <w:t xml:space="preserve">The Advisor shall not vote proxies for securities purchased for the Client’s Portfolio. Clients will receive proxies directly from the issuer of the security or the Custodian and should direct all proxy questions to the issuer.</w:t>
      </w:r>
    </w:p>
    <w:p>
      <w:pPr>
        <w:spacing w:after="60"/>
      </w:pPr>
      <w:r>
        <w:rPr>
          <w:sz w:val="2"/>
          <w:szCs w:val="2"/>
        </w:rPr>
        <w:t xml:space="preserve"/>
      </w:r>
    </w:p>
    <w:p>
      <w:pPr>
        <w:keepNext/>
        <w:keepLines/>
        <w:pBdr>
          <w:bottom w:val="single" w:color="1B3A5C" w:sz="6"/>
        </w:pBdr>
        <w:spacing w:after="160" w:before="360"/>
      </w:pPr>
      <w:r>
        <w:rPr>
          <w:rFonts w:ascii="Arial" w:cs="Arial" w:eastAsia="Arial" w:hAnsi="Arial"/>
          <w:b/>
          <w:bCs/>
          <w:color w:val="1B3A5C"/>
          <w:sz w:val="32"/>
          <w:szCs w:val="32"/>
        </w:rPr>
        <w:t xml:space="preserve">Verbal Instructions</w:t>
      </w:r>
    </w:p>
    <w:p>
      <w:pPr>
        <w:spacing w:after="120" w:before="0" w:line="276" w:lineRule="auto"/>
      </w:pPr>
      <w:r>
        <w:rPr>
          <w:rFonts w:ascii="Arial" w:cs="Arial" w:eastAsia="Arial" w:hAnsi="Arial"/>
          <w:color w:val="1A1A1A"/>
          <w:sz w:val="24"/>
          <w:szCs w:val="24"/>
        </w:rPr>
        <w:t xml:space="preserve">By the Client’s execution of this Agreement, Client hereby provides express authorization in favor of Advisor which shall expressly permit and allow Advisor to act on the Client’s verbal instructions, except that no trade or order instructions may be left on the Advisor’s voicemail. Instructions left on the Advisor’s voicemail will not be acted upon.</w:t>
      </w:r>
    </w:p>
    <w:p>
      <w:pPr>
        <w:spacing w:after="60"/>
      </w:pPr>
      <w:r>
        <w:rPr>
          <w:sz w:val="2"/>
          <w:szCs w:val="2"/>
        </w:rPr>
        <w:t xml:space="preserve"/>
      </w:r>
    </w:p>
    <w:p>
      <w:pPr>
        <w:spacing w:after="120" w:before="0" w:line="276" w:lineRule="auto"/>
      </w:pPr>
      <w:r>
        <w:rPr>
          <w:rFonts w:ascii="Arial" w:cs="Arial" w:eastAsia="Arial" w:hAnsi="Arial"/>
          <w:b/>
          <w:bCs/>
          <w:color w:val="1A1A1A"/>
          <w:sz w:val="24"/>
          <w:szCs w:val="24"/>
        </w:rPr>
        <w:t xml:space="preserve">Written Confirmation of Verbal Instructions: </w:t>
      </w:r>
      <w:r>
        <w:rPr>
          <w:rFonts w:ascii="Arial" w:cs="Arial" w:eastAsia="Arial" w:hAnsi="Arial"/>
          <w:color w:val="1A1A1A"/>
          <w:sz w:val="24"/>
          <w:szCs w:val="24"/>
        </w:rPr>
        <w:t xml:space="preserve">Advisor shall send written confirmation (by email or other written communication) of any material action taken pursuant to verbal instructions within five (5) business days of such action. The Client should promptly review all such confirmations and notify Advisor in writing if any confirmation is inaccurate or incomplete.</w:t>
      </w:r>
    </w:p>
    <w:p>
      <w:pPr>
        <w:spacing w:after="60"/>
      </w:pPr>
      <w:r>
        <w:rPr>
          <w:sz w:val="2"/>
          <w:szCs w:val="2"/>
        </w:rPr>
        <w:t xml:space="preserve"/>
      </w:r>
    </w:p>
    <w:p>
      <w:pPr>
        <w:keepNext/>
        <w:keepLines/>
        <w:pBdr>
          <w:bottom w:val="single" w:color="1B3A5C" w:sz="6"/>
        </w:pBdr>
        <w:spacing w:after="160" w:before="360"/>
      </w:pPr>
      <w:r>
        <w:rPr>
          <w:rFonts w:ascii="Arial" w:cs="Arial" w:eastAsia="Arial" w:hAnsi="Arial"/>
          <w:b/>
          <w:bCs/>
          <w:color w:val="1B3A5C"/>
          <w:sz w:val="32"/>
          <w:szCs w:val="32"/>
        </w:rPr>
        <w:t xml:space="preserve">Assignment</w:t>
      </w:r>
    </w:p>
    <w:p>
      <w:pPr>
        <w:spacing w:after="120" w:before="0" w:line="276" w:lineRule="auto"/>
      </w:pPr>
      <w:r>
        <w:rPr>
          <w:rFonts w:ascii="Arial" w:cs="Arial" w:eastAsia="Arial" w:hAnsi="Arial"/>
          <w:color w:val="1A1A1A"/>
          <w:sz w:val="24"/>
          <w:szCs w:val="24"/>
        </w:rPr>
        <w:t xml:space="preserve">Neither party may assign this Agreement without the prior written consent of the other party.</w:t>
      </w:r>
    </w:p>
    <w:p>
      <w:pPr>
        <w:spacing w:after="60"/>
      </w:pPr>
      <w:r>
        <w:rPr>
          <w:sz w:val="2"/>
          <w:szCs w:val="2"/>
        </w:rPr>
        <w:t xml:space="preserve"/>
      </w:r>
    </w:p>
    <w:p>
      <w:pPr>
        <w:keepNext/>
        <w:keepLines/>
        <w:pBdr>
          <w:bottom w:val="single" w:color="1B3A5C" w:sz="6"/>
        </w:pBdr>
        <w:spacing w:after="160" w:before="360"/>
      </w:pPr>
      <w:r>
        <w:rPr>
          <w:rFonts w:ascii="Arial" w:cs="Arial" w:eastAsia="Arial" w:hAnsi="Arial"/>
          <w:b/>
          <w:bCs/>
          <w:color w:val="1B3A5C"/>
          <w:sz w:val="32"/>
          <w:szCs w:val="32"/>
        </w:rPr>
        <w:t xml:space="preserve">Limitation of Liability</w:t>
      </w:r>
    </w:p>
    <w:p>
      <w:pPr>
        <w:spacing w:after="120" w:before="0" w:line="276" w:lineRule="auto"/>
      </w:pPr>
      <w:r>
        <w:rPr>
          <w:rFonts w:ascii="Arial" w:cs="Arial" w:eastAsia="Arial" w:hAnsi="Arial"/>
          <w:color w:val="1A1A1A"/>
          <w:sz w:val="24"/>
          <w:szCs w:val="24"/>
        </w:rPr>
        <w:t xml:space="preserve">Except as may otherwise be provided by law, Advisor shall not be liable to Client for any loss that Client may suffer, except where such loss directly results from negligence or misconduct by Advisor or as is otherwise required by federal or state law; or any loss arising from Advisor’s adherence to Client’s instructions. Federal and state securities laws impose certain obligations on persons acting in good faith, and as such, nothing in this Agreement shall result in any waiver of any or all of the rights which the Client shall otherwise enjoy under the federal and state securities laws.</w:t>
      </w:r>
    </w:p>
    <w:p>
      <w:pPr>
        <w:spacing w:after="60"/>
      </w:pPr>
      <w:r>
        <w:rPr>
          <w:sz w:val="2"/>
          <w:szCs w:val="2"/>
        </w:rPr>
        <w:t xml:space="preserve"/>
      </w:r>
    </w:p>
    <w:p>
      <w:pPr>
        <w:keepNext/>
        <w:keepLines/>
        <w:pBdr>
          <w:bottom w:val="single" w:color="1B3A5C" w:sz="6"/>
        </w:pBdr>
        <w:spacing w:after="160" w:before="360"/>
      </w:pPr>
      <w:r>
        <w:rPr>
          <w:rFonts w:ascii="Arial" w:cs="Arial" w:eastAsia="Arial" w:hAnsi="Arial"/>
          <w:b/>
          <w:bCs/>
          <w:color w:val="1B3A5C"/>
          <w:sz w:val="32"/>
          <w:szCs w:val="32"/>
        </w:rPr>
        <w:t xml:space="preserve">Governing Law</w:t>
      </w:r>
    </w:p>
    <w:p>
      <w:pPr>
        <w:spacing w:after="120" w:before="0" w:line="276" w:lineRule="auto"/>
      </w:pPr>
      <w:r>
        <w:rPr>
          <w:rFonts w:ascii="Arial" w:cs="Arial" w:eastAsia="Arial" w:hAnsi="Arial"/>
          <w:color w:val="1A1A1A"/>
          <w:sz w:val="24"/>
          <w:szCs w:val="24"/>
        </w:rPr>
        <w:t xml:space="preserve">This Agreement shall be governed by and construed in accordance with the laws of the State of Ohio except to the extent that the federal securities laws shall otherwise be controlling.</w:t>
      </w:r>
    </w:p>
    <w:p>
      <w:pPr>
        <w:spacing w:after="60"/>
      </w:pPr>
      <w:r>
        <w:rPr>
          <w:sz w:val="2"/>
          <w:szCs w:val="2"/>
        </w:rPr>
        <w:t xml:space="preserve"/>
      </w:r>
    </w:p>
    <w:p>
      <w:pPr>
        <w:keepNext/>
        <w:keepLines/>
        <w:pBdr>
          <w:bottom w:val="single" w:color="1B3A5C" w:sz="6"/>
        </w:pBdr>
        <w:spacing w:after="160" w:before="360"/>
      </w:pPr>
      <w:r>
        <w:rPr>
          <w:rFonts w:ascii="Arial" w:cs="Arial" w:eastAsia="Arial" w:hAnsi="Arial"/>
          <w:b/>
          <w:bCs/>
          <w:color w:val="1B3A5C"/>
          <w:sz w:val="32"/>
          <w:szCs w:val="32"/>
        </w:rPr>
        <w:t xml:space="preserve">Venue</w:t>
      </w:r>
    </w:p>
    <w:p>
      <w:pPr>
        <w:spacing w:after="120" w:before="0" w:line="276" w:lineRule="auto"/>
      </w:pPr>
      <w:r>
        <w:rPr>
          <w:rFonts w:ascii="Arial" w:cs="Arial" w:eastAsia="Arial" w:hAnsi="Arial"/>
          <w:color w:val="1A1A1A"/>
          <w:sz w:val="24"/>
          <w:szCs w:val="24"/>
        </w:rPr>
        <w:t xml:space="preserve">In the event that any dispute shall arise between the parties, it is hereby agreed that any litigation, cause, suit, mediation, or any other proceeding shall take place in Montgomery County, Ohio, unless otherwise agreed to in writing by the Advisor and the Client.</w:t>
      </w:r>
    </w:p>
    <w:p>
      <w:pPr>
        <w:spacing w:after="40"/>
      </w:pPr>
      <w:r>
        <w:rPr>
          <w:sz w:val="2"/>
          <w:szCs w:val="2"/>
        </w:rPr>
        <w:t xml:space="preserve"/>
      </w:r>
    </w:p>
    <w:p>
      <w:pPr>
        <w:spacing w:after="120" w:before="40"/>
      </w:pPr>
      <w:r>
        <w:rPr>
          <w:rFonts w:ascii="Arial" w:cs="Arial" w:eastAsia="Arial" w:hAnsi="Arial"/>
          <w:i/>
          <w:iCs/>
          <w:color w:val="666666"/>
          <w:sz w:val="20"/>
          <w:szCs w:val="20"/>
        </w:rPr>
        <w:t xml:space="preserve">Note: Pursuant to Ohio Administrative Code § 1301:6-3-15.1(I)(1)(d), this Agreement does not contain a mandatory arbitration clause. The parties may voluntarily agree to arbitration or other dispute resolution at the time a dispute arises.</w:t>
      </w:r>
    </w:p>
    <w:p>
      <w:pPr>
        <w:spacing w:after="60"/>
      </w:pPr>
      <w:r>
        <w:rPr>
          <w:sz w:val="2"/>
          <w:szCs w:val="2"/>
        </w:rPr>
        <w:t xml:space="preserve"/>
      </w:r>
    </w:p>
    <w:p>
      <w:pPr>
        <w:keepNext/>
        <w:keepLines/>
        <w:pBdr>
          <w:bottom w:val="single" w:color="1B3A5C" w:sz="6"/>
        </w:pBdr>
        <w:spacing w:after="160" w:before="360"/>
      </w:pPr>
      <w:r>
        <w:rPr>
          <w:rFonts w:ascii="Arial" w:cs="Arial" w:eastAsia="Arial" w:hAnsi="Arial"/>
          <w:b/>
          <w:bCs/>
          <w:color w:val="1B3A5C"/>
          <w:sz w:val="32"/>
          <w:szCs w:val="32"/>
        </w:rPr>
        <w:t xml:space="preserve">Investment Risks</w:t>
      </w:r>
    </w:p>
    <w:p>
      <w:pPr>
        <w:spacing w:after="120" w:before="0" w:line="276" w:lineRule="auto"/>
      </w:pPr>
      <w:r>
        <w:rPr>
          <w:rFonts w:ascii="Arial" w:cs="Arial" w:eastAsia="Arial" w:hAnsi="Arial"/>
          <w:color w:val="1A1A1A"/>
          <w:sz w:val="24"/>
          <w:szCs w:val="24"/>
        </w:rPr>
        <w:t xml:space="preserve">Advisor does not guarantee the future performance of any specific securities or recommendations. The Client understands that investment recommendations and/or decisions are subject to various market, currency, economic, political and business risks, and that any or all investment recommendations and/or decisions made by Advisor may not be profitable.</w:t>
      </w:r>
    </w:p>
    <w:p>
      <w:pPr>
        <w:spacing w:after="60"/>
      </w:pPr>
      <w:r>
        <w:rPr>
          <w:sz w:val="2"/>
          <w:szCs w:val="2"/>
        </w:rPr>
        <w:t xml:space="preserve"/>
      </w:r>
    </w:p>
    <w:p>
      <w:pPr>
        <w:keepNext/>
        <w:keepLines/>
        <w:pBdr>
          <w:bottom w:val="single" w:color="1B3A5C" w:sz="6"/>
        </w:pBdr>
        <w:spacing w:after="160" w:before="360"/>
      </w:pPr>
      <w:r>
        <w:rPr>
          <w:rFonts w:ascii="Arial" w:cs="Arial" w:eastAsia="Arial" w:hAnsi="Arial"/>
          <w:b/>
          <w:bCs/>
          <w:color w:val="1B3A5C"/>
          <w:sz w:val="32"/>
          <w:szCs w:val="32"/>
        </w:rPr>
        <w:t xml:space="preserve">Term and Termination</w:t>
      </w:r>
    </w:p>
    <w:p>
      <w:pPr>
        <w:spacing w:after="120" w:before="0" w:line="276" w:lineRule="auto"/>
      </w:pPr>
      <w:r>
        <w:rPr>
          <w:rFonts w:ascii="Arial" w:cs="Arial" w:eastAsia="Arial" w:hAnsi="Arial"/>
          <w:color w:val="1A1A1A"/>
          <w:sz w:val="24"/>
          <w:szCs w:val="24"/>
        </w:rPr>
        <w:t xml:space="preserve">This Agreement begins upon the Effective Date and continues in full force until written notice is received by either party of its intention to terminate this Agreement. This Agreement may be terminated, without penalty, upon at least 30 calendar days’ written notice by either party. Termination will become effective 30 calendar days after receipt of such notice or on another date as agreed to by the Client and the Advisor. Since fees are paid in advance, a prorated refund will be given, if applicable, upon termination of this Agreement for any unearned fee. The Advisor specifically reserves the right to terminate this Agreement without notice if the Client fails to pay fees in a timely manner, intentionally provides false or misleading information, or fails to cooperate with a request by the Advisor to provide information necessary to perform the services required under this Agreement.</w:t>
      </w:r>
    </w:p>
    <w:p>
      <w:pPr>
        <w:spacing w:after="60"/>
      </w:pPr>
      <w:r>
        <w:rPr>
          <w:sz w:val="2"/>
          <w:szCs w:val="2"/>
        </w:rPr>
        <w:t xml:space="preserve"/>
      </w:r>
    </w:p>
    <w:p>
      <w:pPr>
        <w:keepNext/>
        <w:keepLines/>
        <w:pBdr>
          <w:bottom w:val="single" w:color="1B3A5C" w:sz="6"/>
        </w:pBdr>
        <w:spacing w:after="160" w:before="360"/>
      </w:pPr>
      <w:r>
        <w:rPr>
          <w:rFonts w:ascii="Arial" w:cs="Arial" w:eastAsia="Arial" w:hAnsi="Arial"/>
          <w:b/>
          <w:bCs/>
          <w:color w:val="1B3A5C"/>
          <w:sz w:val="32"/>
          <w:szCs w:val="32"/>
        </w:rPr>
        <w:t xml:space="preserve">Death or Disability</w:t>
      </w:r>
    </w:p>
    <w:p>
      <w:pPr>
        <w:spacing w:after="120" w:before="0" w:line="276" w:lineRule="auto"/>
      </w:pPr>
      <w:r>
        <w:rPr>
          <w:rFonts w:ascii="Arial" w:cs="Arial" w:eastAsia="Arial" w:hAnsi="Arial"/>
          <w:color w:val="1A1A1A"/>
          <w:sz w:val="24"/>
          <w:szCs w:val="24"/>
        </w:rPr>
        <w:t xml:space="preserve">The death, disability or incompetency of the Client will not terminate or change the terms of the Agreement. Following the death, disability or incompetency of the Client, the Client’s executor, guardian, attorney-in-fact or other legally authorized representative may terminate this Agreement by giving written notice to Advisor.</w:t>
      </w:r>
    </w:p>
    <w:p>
      <w:pPr>
        <w:spacing w:after="60"/>
      </w:pPr>
      <w:r>
        <w:rPr>
          <w:sz w:val="2"/>
          <w:szCs w:val="2"/>
        </w:rPr>
        <w:t xml:space="preserve"/>
      </w:r>
    </w:p>
    <w:p>
      <w:pPr>
        <w:keepNext/>
        <w:keepLines/>
        <w:pBdr>
          <w:bottom w:val="single" w:color="1B3A5C" w:sz="6"/>
        </w:pBdr>
        <w:spacing w:after="160" w:before="360"/>
      </w:pPr>
      <w:r>
        <w:rPr>
          <w:rFonts w:ascii="Arial" w:cs="Arial" w:eastAsia="Arial" w:hAnsi="Arial"/>
          <w:b/>
          <w:bCs/>
          <w:color w:val="1B3A5C"/>
          <w:sz w:val="32"/>
          <w:szCs w:val="32"/>
        </w:rPr>
        <w:t xml:space="preserve">Electronic Communications and Notices</w:t>
      </w:r>
    </w:p>
    <w:p>
      <w:pPr>
        <w:spacing w:after="120" w:before="0" w:line="276" w:lineRule="auto"/>
      </w:pPr>
      <w:r>
        <w:rPr>
          <w:rFonts w:ascii="Arial" w:cs="Arial" w:eastAsia="Arial" w:hAnsi="Arial"/>
          <w:color w:val="1A1A1A"/>
          <w:sz w:val="24"/>
          <w:szCs w:val="24"/>
        </w:rPr>
        <w:t xml:space="preserve">Any notice given to a party in connection with this Agreement must be in writing and shall be effective upon receipt by the other party, if delivered to such party at either its mailing address or through email (at the email addresses provided in this Agreement or at a substitute email address provided by the respective party). The Client consents to electronic delivery of required disclosure documents, notices, and other communications. Note that if Client does not provide an email address, Client hereby consents to receive all notices in paper form. Client agrees to immediately notify Advisor of any changes to Client’s email address. The Client may revoke its consent to receive communications electronically at any time by notifying the Advisor.</w:t>
      </w:r>
    </w:p>
    <w:p>
      <w:pPr>
        <w:spacing w:after="60"/>
      </w:pPr>
      <w:r>
        <w:rPr>
          <w:sz w:val="2"/>
          <w:szCs w:val="2"/>
        </w:rPr>
        <w:t xml:space="preserve"/>
      </w:r>
    </w:p>
    <w:p>
      <w:pPr>
        <w:keepNext/>
        <w:keepLines/>
        <w:pBdr>
          <w:bottom w:val="single" w:color="1B3A5C" w:sz="6"/>
        </w:pBdr>
        <w:spacing w:after="160" w:before="360"/>
      </w:pPr>
      <w:r>
        <w:rPr>
          <w:rFonts w:ascii="Arial" w:cs="Arial" w:eastAsia="Arial" w:hAnsi="Arial"/>
          <w:b/>
          <w:bCs/>
          <w:color w:val="1B3A5C"/>
          <w:sz w:val="32"/>
          <w:szCs w:val="32"/>
        </w:rPr>
        <w:t xml:space="preserve">Capacity to Contract</w:t>
      </w:r>
    </w:p>
    <w:p>
      <w:pPr>
        <w:spacing w:after="120" w:before="0" w:line="276" w:lineRule="auto"/>
      </w:pPr>
      <w:r>
        <w:rPr>
          <w:rFonts w:ascii="Arial" w:cs="Arial" w:eastAsia="Arial" w:hAnsi="Arial"/>
          <w:color w:val="1A1A1A"/>
          <w:sz w:val="24"/>
          <w:szCs w:val="24"/>
        </w:rPr>
        <w:t xml:space="preserve">The Client represents that he/she is of legal age. If Client is a corporation, partnership, limited liability company or other organization, the individual signing this Agreement further represents that he or she is authorized to do so.</w:t>
      </w:r>
    </w:p>
    <w:p>
      <w:pPr>
        <w:spacing w:after="60"/>
      </w:pPr>
      <w:r>
        <w:rPr>
          <w:sz w:val="2"/>
          <w:szCs w:val="2"/>
        </w:rPr>
        <w:t xml:space="preserve"/>
      </w:r>
    </w:p>
    <w:p>
      <w:pPr>
        <w:keepNext/>
        <w:keepLines/>
        <w:pBdr>
          <w:bottom w:val="single" w:color="1B3A5C" w:sz="6"/>
        </w:pBdr>
        <w:spacing w:after="160" w:before="360"/>
      </w:pPr>
      <w:r>
        <w:rPr>
          <w:rFonts w:ascii="Arial" w:cs="Arial" w:eastAsia="Arial" w:hAnsi="Arial"/>
          <w:b/>
          <w:bCs/>
          <w:color w:val="1B3A5C"/>
          <w:sz w:val="32"/>
          <w:szCs w:val="32"/>
        </w:rPr>
        <w:t xml:space="preserve">Miscellaneous</w:t>
      </w:r>
    </w:p>
    <w:p>
      <w:pPr>
        <w:spacing w:after="120" w:before="0" w:line="276" w:lineRule="auto"/>
      </w:pPr>
      <w:r>
        <w:rPr>
          <w:rFonts w:ascii="Arial" w:cs="Arial" w:eastAsia="Arial" w:hAnsi="Arial"/>
          <w:color w:val="1A1A1A"/>
          <w:sz w:val="24"/>
          <w:szCs w:val="24"/>
        </w:rPr>
        <w:t xml:space="preserve">All paragraph headings in this Agreement are for convenience of reference only, do not form part of this Agreement, and shall not affect in any way the meaning or interpretation of this Agreement. If any provision herein is or should become inconsistent with any present or future law, rule, or regulation of any governmental or regulatory body having jurisdiction over the subject matter of this Agreement, such provision shall be deemed to be rescinded or modified in accordance with any such law, rule or regulation. In all other respects, this Agreement shall continue and remain in full force and effect. No term or provision of this Agreement may be waived or modified unless in writing and signed by the party against whom such waiver or modification is sought to be enforced. This Agreement contains the entire understanding between Client and Advisor. To the extent that this Agreement is inconsistent with any other agreement governing the Client’s Portfolio, the provisions of this Agreement shall govern.</w:t>
      </w:r>
    </w:p>
    <w:p>
      <w:pPr>
        <w:spacing w:after="60"/>
      </w:pPr>
      <w:r>
        <w:rPr>
          <w:sz w:val="2"/>
          <w:szCs w:val="2"/>
        </w:rPr>
        <w:t xml:space="preserve"/>
      </w:r>
    </w:p>
    <w:p>
      <w:pPr>
        <w:keepNext/>
        <w:keepLines/>
        <w:pBdr>
          <w:bottom w:val="single" w:color="1B3A5C" w:sz="6"/>
        </w:pBdr>
        <w:spacing w:after="160" w:before="360"/>
      </w:pPr>
      <w:r>
        <w:rPr>
          <w:rFonts w:ascii="Arial" w:cs="Arial" w:eastAsia="Arial" w:hAnsi="Arial"/>
          <w:b/>
          <w:bCs/>
          <w:color w:val="1B3A5C"/>
          <w:sz w:val="32"/>
          <w:szCs w:val="32"/>
        </w:rPr>
        <w:t xml:space="preserve">Confidential Relationship</w:t>
      </w:r>
    </w:p>
    <w:p>
      <w:pPr>
        <w:spacing w:after="120" w:before="0" w:line="276" w:lineRule="auto"/>
      </w:pPr>
      <w:r>
        <w:rPr>
          <w:rFonts w:ascii="Arial" w:cs="Arial" w:eastAsia="Arial" w:hAnsi="Arial"/>
          <w:color w:val="1A1A1A"/>
          <w:sz w:val="24"/>
          <w:szCs w:val="24"/>
        </w:rPr>
        <w:t xml:space="preserve">Information received by the Advisor from the Client will be kept confidential by the Advisor in a manner consistent with applicable law and with the Advisor’s Privacy Policy. The Client acknowledges receipt of the Advisor’s Privacy Policy. The Advisor will provide a copy of the Advisor’s Privacy Policy annually or as required by law.</w:t>
      </w:r>
    </w:p>
    <w:p>
      <w:pPr>
        <w:spacing w:after="60"/>
      </w:pPr>
      <w:r>
        <w:rPr>
          <w:sz w:val="2"/>
          <w:szCs w:val="2"/>
        </w:rPr>
        <w:t xml:space="preserve"/>
      </w:r>
    </w:p>
    <w:p>
      <w:pPr>
        <w:keepNext/>
        <w:keepLines/>
        <w:pBdr>
          <w:bottom w:val="single" w:color="1B3A5C" w:sz="6"/>
        </w:pBdr>
        <w:spacing w:after="160" w:before="360"/>
      </w:pPr>
      <w:r>
        <w:rPr>
          <w:rFonts w:ascii="Arial" w:cs="Arial" w:eastAsia="Arial" w:hAnsi="Arial"/>
          <w:b/>
          <w:bCs/>
          <w:color w:val="1B3A5C"/>
          <w:sz w:val="32"/>
          <w:szCs w:val="32"/>
        </w:rPr>
        <w:t xml:space="preserve">Receipt of Form ADV</w:t>
      </w:r>
    </w:p>
    <w:p>
      <w:pPr>
        <w:spacing w:after="120" w:before="0" w:line="276" w:lineRule="auto"/>
      </w:pPr>
      <w:r>
        <w:rPr>
          <w:rFonts w:ascii="Arial" w:cs="Arial" w:eastAsia="Arial" w:hAnsi="Arial"/>
          <w:color w:val="1A1A1A"/>
          <w:sz w:val="24"/>
          <w:szCs w:val="24"/>
        </w:rPr>
        <w:t xml:space="preserve">The Client acknowledges receipt from the Advisor of a copy of the Advisor’s Form ADV Parts 2A &amp; 2B (“Disclosure Documents”). If the Disclosure Documents were not delivered to the Client at least 48 hours prior to the Client entering into this Agreement, the Client has the right to terminate this Agreement without penalty or fees within five (5) business days after entering into the Agreement. The Client shall be provided with an updated Form ADV, Part 2A on an annual basis or with an offer for a copy and a summary of material changes. In addition, the Client shall receive ADV Part 2B when material changes occur. Advisor’s Form ADV Part 2 is also currently available at www.adviserinfo.sec.gov.</w:t>
      </w:r>
    </w:p>
    <w:p>
      <w:pPr>
        <w:spacing w:after="120"/>
      </w:pPr>
      <w:r>
        <w:rPr>
          <w:sz w:val="2"/>
          <w:szCs w:val="2"/>
        </w:rPr>
        <w:t xml:space="preserve"/>
      </w:r>
    </w:p>
    <w:p>
      <w:pPr>
        <w:pBdr>
          <w:bottom w:val="single" w:color="CCCCCC" w:sz="4"/>
        </w:pBdr>
        <w:spacing w:after="120" w:before="120"/>
      </w:pPr>
    </w:p>
    <w:p>
      <w:pPr>
        <w:keepNext/>
        <w:keepLines/>
        <w:pBdr>
          <w:bottom w:val="single" w:color="1B3A5C" w:sz="6"/>
        </w:pBdr>
        <w:spacing w:after="160" w:before="360"/>
      </w:pPr>
      <w:r>
        <w:rPr>
          <w:rFonts w:ascii="Arial" w:cs="Arial" w:eastAsia="Arial" w:hAnsi="Arial"/>
          <w:b/>
          <w:bCs/>
          <w:color w:val="1B3A5C"/>
          <w:sz w:val="32"/>
          <w:szCs w:val="32"/>
        </w:rPr>
        <w:t xml:space="preserve">Signatures</w:t>
      </w:r>
    </w:p>
    <w:p>
      <w:pPr>
        <w:spacing w:after="120" w:before="0" w:line="276" w:lineRule="auto"/>
      </w:pPr>
      <w:r>
        <w:rPr>
          <w:rFonts w:ascii="Arial" w:cs="Arial" w:eastAsia="Arial" w:hAnsi="Arial"/>
          <w:color w:val="1A1A1A"/>
          <w:sz w:val="24"/>
          <w:szCs w:val="24"/>
        </w:rPr>
        <w:t xml:space="preserve">By signing below, I/(we) acknowledge that I have received and agree to abide by all the terms and conditions set forth in this Agreement with the Advisor.</w:t>
      </w:r>
    </w:p>
    <w:p>
      <w:pPr>
        <w:spacing w:after="120"/>
      </w:pPr>
      <w:r>
        <w:rPr>
          <w:sz w:val="2"/>
          <w:szCs w:val="2"/>
        </w:rPr>
        <w:t xml:space="preserve"/>
      </w:r>
    </w:p>
    <w:p>
      <w:pPr>
        <w:spacing w:after="60" w:before="200"/>
      </w:pPr>
      <w:r>
        <w:rPr>
          <w:rFonts w:ascii="Arial" w:cs="Arial" w:eastAsia="Arial" w:hAnsi="Arial"/>
          <w:color w:val="666666"/>
          <w:sz w:val="22"/>
          <w:szCs w:val="22"/>
        </w:rPr>
        <w:t xml:space="preserve">__________________________________________________   </w:t>
      </w:r>
      <w:r>
        <w:rPr>
          <w:rFonts w:ascii="Arial" w:cs="Arial" w:eastAsia="Arial" w:hAnsi="Arial"/>
          <w:i/>
          <w:iCs/>
          <w:color w:val="666666"/>
          <w:sz w:val="20"/>
          <w:szCs w:val="20"/>
        </w:rPr>
        <w:t xml:space="preserve">Signature — Client 1</w:t>
      </w:r>
    </w:p>
    <w:p>
      <w:pPr>
        <w:spacing w:after="60" w:before="200"/>
      </w:pPr>
      <w:r>
        <w:rPr>
          <w:rFonts w:ascii="Arial" w:cs="Arial" w:eastAsia="Arial" w:hAnsi="Arial"/>
          <w:color w:val="666666"/>
          <w:sz w:val="22"/>
          <w:szCs w:val="22"/>
        </w:rPr>
        <w:t xml:space="preserve">__________________________________________________   </w:t>
      </w:r>
      <w:r>
        <w:rPr>
          <w:rFonts w:ascii="Arial" w:cs="Arial" w:eastAsia="Arial" w:hAnsi="Arial"/>
          <w:i/>
          <w:iCs/>
          <w:color w:val="666666"/>
          <w:sz w:val="20"/>
          <w:szCs w:val="20"/>
        </w:rPr>
        <w:t xml:space="preserve">Printed Name — Client 1</w:t>
      </w:r>
    </w:p>
    <w:p>
      <w:pPr>
        <w:spacing w:after="60" w:before="200"/>
      </w:pPr>
      <w:r>
        <w:rPr>
          <w:rFonts w:ascii="Arial" w:cs="Arial" w:eastAsia="Arial" w:hAnsi="Arial"/>
          <w:color w:val="666666"/>
          <w:sz w:val="22"/>
          <w:szCs w:val="22"/>
        </w:rPr>
        <w:t xml:space="preserve">__________________________________________________   </w:t>
      </w:r>
      <w:r>
        <w:rPr>
          <w:rFonts w:ascii="Arial" w:cs="Arial" w:eastAsia="Arial" w:hAnsi="Arial"/>
          <w:i/>
          <w:iCs/>
          <w:color w:val="666666"/>
          <w:sz w:val="20"/>
          <w:szCs w:val="20"/>
        </w:rPr>
        <w:t xml:space="preserve">Email Address — Client 1</w:t>
      </w:r>
    </w:p>
    <w:p>
      <w:pPr>
        <w:spacing w:after="60" w:before="200"/>
      </w:pPr>
      <w:r>
        <w:rPr>
          <w:rFonts w:ascii="Arial" w:cs="Arial" w:eastAsia="Arial" w:hAnsi="Arial"/>
          <w:color w:val="666666"/>
          <w:sz w:val="22"/>
          <w:szCs w:val="22"/>
        </w:rPr>
        <w:t xml:space="preserve">__________________________________________________   </w:t>
      </w:r>
      <w:r>
        <w:rPr>
          <w:rFonts w:ascii="Arial" w:cs="Arial" w:eastAsia="Arial" w:hAnsi="Arial"/>
          <w:i/>
          <w:iCs/>
          <w:color w:val="666666"/>
          <w:sz w:val="20"/>
          <w:szCs w:val="20"/>
        </w:rPr>
        <w:t xml:space="preserve">Date</w:t>
      </w:r>
    </w:p>
    <w:p>
      <w:pPr>
        <w:spacing w:after="80"/>
      </w:pPr>
      <w:r>
        <w:rPr>
          <w:sz w:val="2"/>
          <w:szCs w:val="2"/>
        </w:rPr>
        <w:t xml:space="preserve"/>
      </w:r>
    </w:p>
    <w:p>
      <w:pPr>
        <w:spacing w:after="60" w:before="200"/>
      </w:pPr>
      <w:r>
        <w:rPr>
          <w:rFonts w:ascii="Arial" w:cs="Arial" w:eastAsia="Arial" w:hAnsi="Arial"/>
          <w:color w:val="666666"/>
          <w:sz w:val="22"/>
          <w:szCs w:val="22"/>
        </w:rPr>
        <w:t xml:space="preserve">__________________________________________________   </w:t>
      </w:r>
      <w:r>
        <w:rPr>
          <w:rFonts w:ascii="Arial" w:cs="Arial" w:eastAsia="Arial" w:hAnsi="Arial"/>
          <w:i/>
          <w:iCs/>
          <w:color w:val="666666"/>
          <w:sz w:val="20"/>
          <w:szCs w:val="20"/>
        </w:rPr>
        <w:t xml:space="preserve">Signature — Client 2 (if applicable)</w:t>
      </w:r>
    </w:p>
    <w:p>
      <w:pPr>
        <w:spacing w:after="60" w:before="200"/>
      </w:pPr>
      <w:r>
        <w:rPr>
          <w:rFonts w:ascii="Arial" w:cs="Arial" w:eastAsia="Arial" w:hAnsi="Arial"/>
          <w:color w:val="666666"/>
          <w:sz w:val="22"/>
          <w:szCs w:val="22"/>
        </w:rPr>
        <w:t xml:space="preserve">__________________________________________________   </w:t>
      </w:r>
      <w:r>
        <w:rPr>
          <w:rFonts w:ascii="Arial" w:cs="Arial" w:eastAsia="Arial" w:hAnsi="Arial"/>
          <w:i/>
          <w:iCs/>
          <w:color w:val="666666"/>
          <w:sz w:val="20"/>
          <w:szCs w:val="20"/>
        </w:rPr>
        <w:t xml:space="preserve">Printed Name — Client 2 (if applicable)</w:t>
      </w:r>
    </w:p>
    <w:p>
      <w:pPr>
        <w:spacing w:after="60" w:before="200"/>
      </w:pPr>
      <w:r>
        <w:rPr>
          <w:rFonts w:ascii="Arial" w:cs="Arial" w:eastAsia="Arial" w:hAnsi="Arial"/>
          <w:color w:val="666666"/>
          <w:sz w:val="22"/>
          <w:szCs w:val="22"/>
        </w:rPr>
        <w:t xml:space="preserve">__________________________________________________   </w:t>
      </w:r>
      <w:r>
        <w:rPr>
          <w:rFonts w:ascii="Arial" w:cs="Arial" w:eastAsia="Arial" w:hAnsi="Arial"/>
          <w:i/>
          <w:iCs/>
          <w:color w:val="666666"/>
          <w:sz w:val="20"/>
          <w:szCs w:val="20"/>
        </w:rPr>
        <w:t xml:space="preserve">Email Address — Client 2 (if applicable)</w:t>
      </w:r>
    </w:p>
    <w:p>
      <w:pPr>
        <w:spacing w:after="60" w:before="200"/>
      </w:pPr>
      <w:r>
        <w:rPr>
          <w:rFonts w:ascii="Arial" w:cs="Arial" w:eastAsia="Arial" w:hAnsi="Arial"/>
          <w:color w:val="666666"/>
          <w:sz w:val="22"/>
          <w:szCs w:val="22"/>
        </w:rPr>
        <w:t xml:space="preserve">__________________________________________________   </w:t>
      </w:r>
      <w:r>
        <w:rPr>
          <w:rFonts w:ascii="Arial" w:cs="Arial" w:eastAsia="Arial" w:hAnsi="Arial"/>
          <w:i/>
          <w:iCs/>
          <w:color w:val="666666"/>
          <w:sz w:val="20"/>
          <w:szCs w:val="20"/>
        </w:rPr>
        <w:t xml:space="preserve">Date</w:t>
      </w:r>
    </w:p>
    <w:p>
      <w:pPr>
        <w:spacing w:after="80"/>
      </w:pPr>
      <w:r>
        <w:rPr>
          <w:sz w:val="2"/>
          <w:szCs w:val="2"/>
        </w:rPr>
        <w:t xml:space="preserve"/>
      </w:r>
    </w:p>
    <w:p>
      <w:pPr>
        <w:spacing w:after="60" w:before="200"/>
      </w:pPr>
      <w:r>
        <w:rPr>
          <w:rFonts w:ascii="Arial" w:cs="Arial" w:eastAsia="Arial" w:hAnsi="Arial"/>
          <w:color w:val="666666"/>
          <w:sz w:val="22"/>
          <w:szCs w:val="22"/>
        </w:rPr>
        <w:t xml:space="preserve">__________________________________________________   </w:t>
      </w:r>
      <w:r>
        <w:rPr>
          <w:rFonts w:ascii="Arial" w:cs="Arial" w:eastAsia="Arial" w:hAnsi="Arial"/>
          <w:i/>
          <w:iCs/>
          <w:color w:val="666666"/>
          <w:sz w:val="20"/>
          <w:szCs w:val="20"/>
        </w:rPr>
        <w:t xml:space="preserve">Signature — Authorized Officer, Buckeye Wealth Partners LLC</w:t>
      </w:r>
    </w:p>
    <w:p>
      <w:pPr>
        <w:spacing w:after="60" w:before="200"/>
      </w:pPr>
      <w:r>
        <w:rPr>
          <w:rFonts w:ascii="Arial" w:cs="Arial" w:eastAsia="Arial" w:hAnsi="Arial"/>
          <w:color w:val="666666"/>
          <w:sz w:val="22"/>
          <w:szCs w:val="22"/>
        </w:rPr>
        <w:t xml:space="preserve">__________________________________________________   </w:t>
      </w:r>
      <w:r>
        <w:rPr>
          <w:rFonts w:ascii="Arial" w:cs="Arial" w:eastAsia="Arial" w:hAnsi="Arial"/>
          <w:i/>
          <w:iCs/>
          <w:color w:val="666666"/>
          <w:sz w:val="20"/>
          <w:szCs w:val="20"/>
        </w:rPr>
        <w:t xml:space="preserve">Printed Name — Authorized Officer</w:t>
      </w:r>
    </w:p>
    <w:p>
      <w:pPr>
        <w:spacing w:after="60" w:before="200"/>
      </w:pPr>
      <w:r>
        <w:rPr>
          <w:rFonts w:ascii="Arial" w:cs="Arial" w:eastAsia="Arial" w:hAnsi="Arial"/>
          <w:color w:val="666666"/>
          <w:sz w:val="22"/>
          <w:szCs w:val="22"/>
        </w:rPr>
        <w:t xml:space="preserve">__________________________________________________   </w:t>
      </w:r>
      <w:r>
        <w:rPr>
          <w:rFonts w:ascii="Arial" w:cs="Arial" w:eastAsia="Arial" w:hAnsi="Arial"/>
          <w:i/>
          <w:iCs/>
          <w:color w:val="666666"/>
          <w:sz w:val="20"/>
          <w:szCs w:val="20"/>
        </w:rPr>
        <w:t xml:space="preserve">Email Address</w:t>
      </w:r>
    </w:p>
    <w:p>
      <w:pPr>
        <w:spacing w:after="60" w:before="200"/>
      </w:pPr>
      <w:r>
        <w:rPr>
          <w:rFonts w:ascii="Arial" w:cs="Arial" w:eastAsia="Arial" w:hAnsi="Arial"/>
          <w:color w:val="666666"/>
          <w:sz w:val="22"/>
          <w:szCs w:val="22"/>
        </w:rPr>
        <w:t xml:space="preserve">__________________________________________________   </w:t>
      </w:r>
      <w:r>
        <w:rPr>
          <w:rFonts w:ascii="Arial" w:cs="Arial" w:eastAsia="Arial" w:hAnsi="Arial"/>
          <w:i/>
          <w:iCs/>
          <w:color w:val="666666"/>
          <w:sz w:val="20"/>
          <w:szCs w:val="20"/>
        </w:rPr>
        <w:t xml:space="preserve">Date</w:t>
      </w:r>
    </w:p>
    <w:p>
      <w:pPr>
        <w:spacing w:after="200"/>
      </w:pPr>
      <w:r>
        <w:rPr>
          <w:sz w:val="2"/>
          <w:szCs w:val="2"/>
        </w:rPr>
        <w:t xml:space="preserve"/>
      </w:r>
    </w:p>
    <w:p>
      <w:pPr>
        <w:pageBreakBefore/>
      </w:pPr>
      <w:r>
        <w:rPr>
          <w:sz w:val="2"/>
          <w:szCs w:val="2"/>
        </w:rPr>
        <w:t xml:space="preserve"/>
      </w:r>
    </w:p>
    <w:p>
      <w:pPr>
        <w:keepNext/>
        <w:keepLines/>
        <w:spacing w:after="80" w:before="200"/>
        <w:jc w:val="center"/>
      </w:pPr>
      <w:r>
        <w:rPr>
          <w:rFonts w:ascii="Arial" w:cs="Arial" w:eastAsia="Arial" w:hAnsi="Arial"/>
          <w:b/>
          <w:bCs/>
          <w:color w:val="1B3A5C"/>
          <w:sz w:val="32"/>
          <w:szCs w:val="32"/>
        </w:rPr>
        <w:t xml:space="preserve">SCHEDULE A — FEE SCHEDULE</w:t>
      </w:r>
    </w:p>
    <w:p>
      <w:pPr>
        <w:spacing w:after="60" w:before="0"/>
        <w:jc w:val="center"/>
      </w:pPr>
      <w:r>
        <w:rPr>
          <w:rFonts w:ascii="Arial" w:cs="Arial" w:eastAsia="Arial" w:hAnsi="Arial"/>
          <w:b/>
          <w:bCs/>
          <w:color w:val="2E6B9E"/>
          <w:sz w:val="26"/>
          <w:szCs w:val="26"/>
        </w:rPr>
        <w:t xml:space="preserve">Wealth Management Advisory Fees</w:t>
      </w:r>
    </w:p>
    <w:p>
      <w:pPr>
        <w:spacing w:after="200" w:before="0"/>
        <w:jc w:val="center"/>
      </w:pPr>
      <w:r>
        <w:rPr>
          <w:rFonts w:ascii="Arial" w:cs="Arial" w:eastAsia="Arial" w:hAnsi="Arial"/>
          <w:color w:val="666666"/>
          <w:sz w:val="22"/>
          <w:szCs w:val="22"/>
        </w:rPr>
        <w:t xml:space="preserve">Effective Date: April 13, 2026</w:t>
      </w:r>
    </w:p>
    <w:p>
      <w:pPr>
        <w:spacing w:after="120" w:before="0" w:line="276" w:lineRule="auto"/>
      </w:pPr>
      <w:r>
        <w:rPr>
          <w:rFonts w:ascii="Arial" w:cs="Arial" w:eastAsia="Arial" w:hAnsi="Arial"/>
          <w:color w:val="1A1A1A"/>
          <w:sz w:val="24"/>
          <w:szCs w:val="24"/>
        </w:rPr>
        <w:t xml:space="preserve">The fee is based on a percentage of assets under management and is negotiable. The annualized fees for investment management services are based on the following fee schedule:</w:t>
      </w:r>
    </w:p>
    <w:p>
      <w:pPr>
        <w:spacing w:after="120"/>
      </w:pPr>
      <w:r>
        <w:rPr>
          <w:sz w:val="2"/>
          <w:szCs w:val="2"/>
        </w:rPr>
        <w:t xml:space="preserve"/>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100"/>
        <w:gridCol w:w="100"/>
      </w:tblGrid>
      <w:tr>
        <w:trPr>
          <w:tblHeader/>
        </w:trPr>
        <w:tc>
          <w:tcPr>
            <w:shd w:fill="1B3A5C" w:color="1B3A5C" w:val="clear"/>
            <w:tcMar>
              <w:top w:type="dxa" w:w="60"/>
              <w:left w:type="dxa" w:w="100"/>
              <w:bottom w:type="dxa" w:w="60"/>
              <w:right w:type="dxa" w:w="100"/>
            </w:tcMar>
          </w:tcPr>
          <w:p>
            <w:pPr>
              <w:spacing w:after="60" w:before="60"/>
              <w:jc w:val="center"/>
            </w:pPr>
            <w:r>
              <w:rPr>
                <w:rFonts w:ascii="Arial" w:cs="Arial" w:eastAsia="Arial" w:hAnsi="Arial"/>
                <w:b/>
                <w:bCs/>
                <w:color w:val="FFFFFF"/>
                <w:sz w:val="22"/>
                <w:szCs w:val="22"/>
              </w:rPr>
              <w:t xml:space="preserve">Assets Under Management</w:t>
            </w:r>
          </w:p>
        </w:tc>
        <w:tc>
          <w:tcPr>
            <w:shd w:fill="1B3A5C" w:color="1B3A5C" w:val="clear"/>
            <w:tcMar>
              <w:top w:type="dxa" w:w="60"/>
              <w:left w:type="dxa" w:w="100"/>
              <w:bottom w:type="dxa" w:w="60"/>
              <w:right w:type="dxa" w:w="100"/>
            </w:tcMar>
          </w:tcPr>
          <w:p>
            <w:pPr>
              <w:spacing w:after="60" w:before="60"/>
              <w:jc w:val="center"/>
            </w:pPr>
            <w:r>
              <w:rPr>
                <w:rFonts w:ascii="Arial" w:cs="Arial" w:eastAsia="Arial" w:hAnsi="Arial"/>
                <w:b/>
                <w:bCs/>
                <w:color w:val="FFFFFF"/>
                <w:sz w:val="22"/>
                <w:szCs w:val="22"/>
              </w:rPr>
              <w:t xml:space="preserve">Annual Advisory Fee</w:t>
            </w:r>
          </w:p>
        </w:tc>
      </w:tr>
      <w:tr>
        <w:tc>
          <w:tcPr>
            <w:shd w:fill="F5F7FA" w:color="F5F7FA" w:val="clear"/>
            <w:tcMar>
              <w:top w:type="dxa" w:w="60"/>
              <w:left w:type="dxa" w:w="100"/>
              <w:bottom w:type="dxa" w:w="60"/>
              <w:right w:type="dxa" w:w="100"/>
            </w:tcMar>
          </w:tcPr>
          <w:p>
            <w:pPr>
              <w:spacing w:after="60" w:before="60"/>
              <w:jc w:val="center"/>
            </w:pPr>
            <w:r>
              <w:rPr>
                <w:rFonts w:ascii="Arial" w:cs="Arial" w:eastAsia="Arial" w:hAnsi="Arial"/>
                <w:color w:val="1A1A1A"/>
                <w:sz w:val="22"/>
                <w:szCs w:val="22"/>
              </w:rPr>
              <w:t xml:space="preserve">$0 – $500,000</w:t>
            </w:r>
          </w:p>
        </w:tc>
        <w:tc>
          <w:tcPr>
            <w:shd w:fill="F5F7FA" w:color="F5F7FA" w:val="clear"/>
            <w:tcMar>
              <w:top w:type="dxa" w:w="60"/>
              <w:left w:type="dxa" w:w="100"/>
              <w:bottom w:type="dxa" w:w="60"/>
              <w:right w:type="dxa" w:w="100"/>
            </w:tcMar>
          </w:tcPr>
          <w:p>
            <w:pPr>
              <w:spacing w:after="60" w:before="60"/>
              <w:jc w:val="center"/>
            </w:pPr>
            <w:r>
              <w:rPr>
                <w:rFonts w:ascii="Arial" w:cs="Arial" w:eastAsia="Arial" w:hAnsi="Arial"/>
                <w:color w:val="1A1A1A"/>
                <w:sz w:val="22"/>
                <w:szCs w:val="22"/>
              </w:rPr>
              <w:t xml:space="preserve">1.45%</w:t>
            </w:r>
          </w:p>
        </w:tc>
      </w:tr>
      <w:tr>
        <w:tc>
          <w:tcPr>
            <w:shd w:fill="FFFFFF" w:color="FFFFFF" w:val="clear"/>
            <w:tcMar>
              <w:top w:type="dxa" w:w="60"/>
              <w:left w:type="dxa" w:w="100"/>
              <w:bottom w:type="dxa" w:w="60"/>
              <w:right w:type="dxa" w:w="100"/>
            </w:tcMar>
          </w:tcPr>
          <w:p>
            <w:pPr>
              <w:spacing w:after="60" w:before="60"/>
              <w:jc w:val="center"/>
            </w:pPr>
            <w:r>
              <w:rPr>
                <w:rFonts w:ascii="Arial" w:cs="Arial" w:eastAsia="Arial" w:hAnsi="Arial"/>
                <w:color w:val="1A1A1A"/>
                <w:sz w:val="22"/>
                <w:szCs w:val="22"/>
              </w:rPr>
              <w:t xml:space="preserve">$500,001 – $1,000,000</w:t>
            </w:r>
          </w:p>
        </w:tc>
        <w:tc>
          <w:tcPr>
            <w:shd w:fill="FFFFFF" w:color="FFFFFF" w:val="clear"/>
            <w:tcMar>
              <w:top w:type="dxa" w:w="60"/>
              <w:left w:type="dxa" w:w="100"/>
              <w:bottom w:type="dxa" w:w="60"/>
              <w:right w:type="dxa" w:w="100"/>
            </w:tcMar>
          </w:tcPr>
          <w:p>
            <w:pPr>
              <w:spacing w:after="60" w:before="60"/>
              <w:jc w:val="center"/>
            </w:pPr>
            <w:r>
              <w:rPr>
                <w:rFonts w:ascii="Arial" w:cs="Arial" w:eastAsia="Arial" w:hAnsi="Arial"/>
                <w:color w:val="1A1A1A"/>
                <w:sz w:val="22"/>
                <w:szCs w:val="22"/>
              </w:rPr>
              <w:t xml:space="preserve">1.40%</w:t>
            </w:r>
          </w:p>
        </w:tc>
      </w:tr>
      <w:tr>
        <w:tc>
          <w:tcPr>
            <w:shd w:fill="F5F7FA" w:color="F5F7FA" w:val="clear"/>
            <w:tcMar>
              <w:top w:type="dxa" w:w="60"/>
              <w:left w:type="dxa" w:w="100"/>
              <w:bottom w:type="dxa" w:w="60"/>
              <w:right w:type="dxa" w:w="100"/>
            </w:tcMar>
          </w:tcPr>
          <w:p>
            <w:pPr>
              <w:spacing w:after="60" w:before="60"/>
              <w:jc w:val="center"/>
            </w:pPr>
            <w:r>
              <w:rPr>
                <w:rFonts w:ascii="Arial" w:cs="Arial" w:eastAsia="Arial" w:hAnsi="Arial"/>
                <w:color w:val="1A1A1A"/>
                <w:sz w:val="22"/>
                <w:szCs w:val="22"/>
              </w:rPr>
              <w:t xml:space="preserve">$1,000,001 – $2,000,000</w:t>
            </w:r>
          </w:p>
        </w:tc>
        <w:tc>
          <w:tcPr>
            <w:shd w:fill="F5F7FA" w:color="F5F7FA" w:val="clear"/>
            <w:tcMar>
              <w:top w:type="dxa" w:w="60"/>
              <w:left w:type="dxa" w:w="100"/>
              <w:bottom w:type="dxa" w:w="60"/>
              <w:right w:type="dxa" w:w="100"/>
            </w:tcMar>
          </w:tcPr>
          <w:p>
            <w:pPr>
              <w:spacing w:after="60" w:before="60"/>
              <w:jc w:val="center"/>
            </w:pPr>
            <w:r>
              <w:rPr>
                <w:rFonts w:ascii="Arial" w:cs="Arial" w:eastAsia="Arial" w:hAnsi="Arial"/>
                <w:color w:val="1A1A1A"/>
                <w:sz w:val="22"/>
                <w:szCs w:val="22"/>
              </w:rPr>
              <w:t xml:space="preserve">1.00%</w:t>
            </w:r>
          </w:p>
        </w:tc>
      </w:tr>
      <w:tr>
        <w:tc>
          <w:tcPr>
            <w:shd w:fill="FFFFFF" w:color="FFFFFF" w:val="clear"/>
            <w:tcMar>
              <w:top w:type="dxa" w:w="60"/>
              <w:left w:type="dxa" w:w="100"/>
              <w:bottom w:type="dxa" w:w="60"/>
              <w:right w:type="dxa" w:w="100"/>
            </w:tcMar>
          </w:tcPr>
          <w:p>
            <w:pPr>
              <w:spacing w:after="60" w:before="60"/>
              <w:jc w:val="center"/>
            </w:pPr>
            <w:r>
              <w:rPr>
                <w:rFonts w:ascii="Arial" w:cs="Arial" w:eastAsia="Arial" w:hAnsi="Arial"/>
                <w:color w:val="1A1A1A"/>
                <w:sz w:val="22"/>
                <w:szCs w:val="22"/>
              </w:rPr>
              <w:t xml:space="preserve">$2,000,001 and Above</w:t>
            </w:r>
          </w:p>
        </w:tc>
        <w:tc>
          <w:tcPr>
            <w:shd w:fill="FFFFFF" w:color="FFFFFF" w:val="clear"/>
            <w:tcMar>
              <w:top w:type="dxa" w:w="60"/>
              <w:left w:type="dxa" w:w="100"/>
              <w:bottom w:type="dxa" w:w="60"/>
              <w:right w:type="dxa" w:w="100"/>
            </w:tcMar>
          </w:tcPr>
          <w:p>
            <w:pPr>
              <w:spacing w:after="60" w:before="60"/>
              <w:jc w:val="center"/>
            </w:pPr>
            <w:r>
              <w:rPr>
                <w:rFonts w:ascii="Arial" w:cs="Arial" w:eastAsia="Arial" w:hAnsi="Arial"/>
                <w:color w:val="1A1A1A"/>
                <w:sz w:val="22"/>
                <w:szCs w:val="22"/>
              </w:rPr>
              <w:t xml:space="preserve">0.60%</w:t>
            </w:r>
          </w:p>
        </w:tc>
      </w:tr>
    </w:tbl>
    <w:p>
      <w:pPr>
        <w:spacing w:after="160"/>
      </w:pPr>
      <w:r>
        <w:rPr>
          <w:sz w:val="2"/>
          <w:szCs w:val="2"/>
        </w:rPr>
        <w:t xml:space="preserve"/>
      </w:r>
    </w:p>
    <w:p>
      <w:pPr>
        <w:spacing w:after="120" w:before="0" w:line="276" w:lineRule="auto"/>
      </w:pPr>
      <w:r>
        <w:rPr>
          <w:rFonts w:ascii="Arial" w:cs="Arial" w:eastAsia="Arial" w:hAnsi="Arial"/>
          <w:b/>
          <w:bCs/>
          <w:color w:val="1A1A1A"/>
          <w:sz w:val="24"/>
          <w:szCs w:val="24"/>
        </w:rPr>
        <w:t xml:space="preserve">Fee Structure Notes:</w:t>
      </w:r>
    </w:p>
    <w:p>
      <w:pPr>
        <w:pStyle w:val="ListParagraph"/>
        <w:numPr>
          <w:ilvl w:val="0"/>
          <w:numId w:val="1"/>
        </w:numPr>
        <w:spacing w:after="80" w:before="0" w:line="276" w:lineRule="auto"/>
      </w:pPr>
      <w:r>
        <w:rPr>
          <w:rFonts w:ascii="Arial" w:cs="Arial" w:eastAsia="Arial" w:hAnsi="Arial"/>
          <w:color w:val="1A1A1A"/>
          <w:sz w:val="24"/>
          <w:szCs w:val="24"/>
        </w:rPr>
        <w:t xml:space="preserve">The advisory fee is a straight tier (not blended or graduated). For example, for assets under management of $5,000,000, a Client would pay 0.60%. The monthly fee is calculated as: ($5,000,000 × 0.60%) ÷ 12 = $2,500.</w:t>
      </w:r>
    </w:p>
    <w:p>
      <w:pPr>
        <w:pStyle w:val="ListParagraph"/>
        <w:numPr>
          <w:ilvl w:val="0"/>
          <w:numId w:val="1"/>
        </w:numPr>
        <w:spacing w:after="80" w:before="0" w:line="276" w:lineRule="auto"/>
      </w:pPr>
      <w:r>
        <w:rPr>
          <w:rFonts w:ascii="Arial" w:cs="Arial" w:eastAsia="Arial" w:hAnsi="Arial"/>
          <w:color w:val="1A1A1A"/>
          <w:sz w:val="24"/>
          <w:szCs w:val="24"/>
        </w:rPr>
        <w:t xml:space="preserve">The annual advisory fee is paid monthly in advance based on the value of Client’s account(s) as of the last day of the billing period.</w:t>
      </w:r>
    </w:p>
    <w:p>
      <w:pPr>
        <w:pStyle w:val="ListParagraph"/>
        <w:numPr>
          <w:ilvl w:val="0"/>
          <w:numId w:val="1"/>
        </w:numPr>
        <w:spacing w:after="80" w:before="0" w:line="276" w:lineRule="auto"/>
      </w:pPr>
      <w:r>
        <w:rPr>
          <w:rFonts w:ascii="Arial" w:cs="Arial" w:eastAsia="Arial" w:hAnsi="Arial"/>
          <w:color w:val="1A1A1A"/>
          <w:sz w:val="24"/>
          <w:szCs w:val="24"/>
        </w:rPr>
        <w:t xml:space="preserve">Accounts of members of the same household may be aggregated for purposes of determining the applicable fee tier.</w:t>
      </w:r>
    </w:p>
    <w:p>
      <w:pPr>
        <w:pStyle w:val="ListParagraph"/>
        <w:numPr>
          <w:ilvl w:val="0"/>
          <w:numId w:val="1"/>
        </w:numPr>
        <w:spacing w:after="80" w:before="0" w:line="276" w:lineRule="auto"/>
      </w:pPr>
      <w:r>
        <w:rPr>
          <w:rFonts w:ascii="Arial" w:cs="Arial" w:eastAsia="Arial" w:hAnsi="Arial"/>
          <w:color w:val="1A1A1A"/>
          <w:sz w:val="24"/>
          <w:szCs w:val="24"/>
        </w:rPr>
        <w:t xml:space="preserve">BWP relies on the valuation provided by Client’s custodian in determining assets under management.</w:t>
      </w:r>
    </w:p>
    <w:p>
      <w:pPr>
        <w:pStyle w:val="ListParagraph"/>
        <w:numPr>
          <w:ilvl w:val="0"/>
          <w:numId w:val="1"/>
        </w:numPr>
        <w:spacing w:after="80" w:before="0" w:line="276" w:lineRule="auto"/>
      </w:pPr>
      <w:r>
        <w:rPr>
          <w:rFonts w:ascii="Arial" w:cs="Arial" w:eastAsia="Arial" w:hAnsi="Arial"/>
          <w:color w:val="1A1A1A"/>
          <w:sz w:val="24"/>
          <w:szCs w:val="24"/>
        </w:rPr>
        <w:t xml:space="preserve">Advisory fees are prorated for any partial billing periods, including the initial and terminating billing periods.</w:t>
      </w:r>
    </w:p>
    <w:p>
      <w:pPr>
        <w:pStyle w:val="ListParagraph"/>
        <w:numPr>
          <w:ilvl w:val="0"/>
          <w:numId w:val="1"/>
        </w:numPr>
        <w:spacing w:after="80" w:before="0" w:line="276" w:lineRule="auto"/>
      </w:pPr>
      <w:r>
        <w:rPr>
          <w:rFonts w:ascii="Arial" w:cs="Arial" w:eastAsia="Arial" w:hAnsi="Arial"/>
          <w:color w:val="1A1A1A"/>
          <w:sz w:val="24"/>
          <w:szCs w:val="24"/>
        </w:rPr>
        <w:t xml:space="preserve">Clients may make additions or withdrawals from their account at any time; BWP reserves the right to adjust advisory fees on a pro-rata basis for such transactions.</w:t>
      </w:r>
    </w:p>
    <w:p>
      <w:pPr>
        <w:pStyle w:val="ListParagraph"/>
        <w:numPr>
          <w:ilvl w:val="0"/>
          <w:numId w:val="1"/>
        </w:numPr>
        <w:spacing w:after="80" w:before="0" w:line="276" w:lineRule="auto"/>
      </w:pPr>
      <w:r>
        <w:rPr>
          <w:rFonts w:ascii="Arial" w:cs="Arial" w:eastAsia="Arial" w:hAnsi="Arial"/>
          <w:color w:val="1A1A1A"/>
          <w:sz w:val="24"/>
          <w:szCs w:val="24"/>
        </w:rPr>
        <w:t xml:space="preserve">Fees are negotiable. Please refer to BWP’s Form ADV Part 2A for complete fee disclosure.</w:t>
      </w:r>
    </w:p>
    <w:p>
      <w:pPr>
        <w:spacing w:after="160"/>
      </w:pPr>
      <w:r>
        <w:rPr>
          <w:sz w:val="2"/>
          <w:szCs w:val="2"/>
        </w:rPr>
        <w:t xml:space="preserve"/>
      </w:r>
    </w:p>
    <w:p>
      <w:pPr>
        <w:spacing w:after="120" w:before="0" w:line="276" w:lineRule="auto"/>
      </w:pPr>
      <w:r>
        <w:rPr>
          <w:rFonts w:ascii="Arial" w:cs="Arial" w:eastAsia="Arial" w:hAnsi="Arial"/>
          <w:color w:val="1A1A1A"/>
          <w:sz w:val="24"/>
          <w:szCs w:val="24"/>
        </w:rPr>
        <w:t xml:space="preserve">Other Terms or Comments:</w:t>
      </w:r>
    </w:p>
    <w:p>
      <w:pPr>
        <w:spacing w:after="40"/>
      </w:pPr>
      <w:r>
        <w:rPr>
          <w:sz w:val="2"/>
          <w:szCs w:val="2"/>
        </w:rPr>
        <w:t xml:space="preserve"/>
      </w:r>
    </w:p>
    <w:p>
      <w:pPr>
        <w:spacing w:after="60" w:before="60"/>
      </w:pPr>
      <w:r>
        <w:rPr>
          <w:rFonts w:ascii="Arial" w:cs="Arial" w:eastAsia="Arial" w:hAnsi="Arial"/>
          <w:color w:val="666666"/>
          <w:sz w:val="22"/>
          <w:szCs w:val="22"/>
        </w:rPr>
        <w:t xml:space="preserve">____________________________________________________________________________________________________</w:t>
      </w:r>
    </w:p>
    <w:p>
      <w:pPr>
        <w:spacing w:after="60" w:before="60"/>
      </w:pPr>
      <w:r>
        <w:rPr>
          <w:rFonts w:ascii="Arial" w:cs="Arial" w:eastAsia="Arial" w:hAnsi="Arial"/>
          <w:color w:val="666666"/>
          <w:sz w:val="22"/>
          <w:szCs w:val="22"/>
        </w:rPr>
        <w:t xml:space="preserve">____________________________________________________________________________________________________</w:t>
      </w:r>
    </w:p>
    <w:p>
      <w:pPr>
        <w:spacing w:after="120" w:before="60"/>
      </w:pPr>
      <w:r>
        <w:rPr>
          <w:rFonts w:ascii="Arial" w:cs="Arial" w:eastAsia="Arial" w:hAnsi="Arial"/>
          <w:color w:val="666666"/>
          <w:sz w:val="22"/>
          <w:szCs w:val="22"/>
        </w:rPr>
        <w:t xml:space="preserve">____________________________________________________________________________________________________</w:t>
      </w:r>
    </w:p>
    <w:p>
      <w:pPr>
        <w:pBdr>
          <w:bottom w:val="single" w:color="CCCCCC" w:sz="4"/>
        </w:pBdr>
        <w:spacing w:after="120" w:before="120"/>
      </w:pPr>
    </w:p>
    <w:p>
      <w:pPr>
        <w:spacing w:after="120"/>
      </w:pPr>
      <w:r>
        <w:rPr>
          <w:sz w:val="2"/>
          <w:szCs w:val="2"/>
        </w:rPr>
        <w:t xml:space="preserve"/>
      </w:r>
    </w:p>
    <w:p>
      <w:pPr>
        <w:spacing w:after="60" w:before="200"/>
      </w:pPr>
      <w:r>
        <w:rPr>
          <w:rFonts w:ascii="Arial" w:cs="Arial" w:eastAsia="Arial" w:hAnsi="Arial"/>
          <w:color w:val="666666"/>
          <w:sz w:val="22"/>
          <w:szCs w:val="22"/>
        </w:rPr>
        <w:t xml:space="preserve">__________________________________________________   </w:t>
      </w:r>
      <w:r>
        <w:rPr>
          <w:rFonts w:ascii="Arial" w:cs="Arial" w:eastAsia="Arial" w:hAnsi="Arial"/>
          <w:i/>
          <w:iCs/>
          <w:color w:val="666666"/>
          <w:sz w:val="20"/>
          <w:szCs w:val="20"/>
        </w:rPr>
        <w:t xml:space="preserve">Signature — Client 1</w:t>
      </w:r>
    </w:p>
    <w:p>
      <w:pPr>
        <w:spacing w:after="60" w:before="200"/>
      </w:pPr>
      <w:r>
        <w:rPr>
          <w:rFonts w:ascii="Arial" w:cs="Arial" w:eastAsia="Arial" w:hAnsi="Arial"/>
          <w:color w:val="666666"/>
          <w:sz w:val="22"/>
          <w:szCs w:val="22"/>
        </w:rPr>
        <w:t xml:space="preserve">__________________________________________________   </w:t>
      </w:r>
      <w:r>
        <w:rPr>
          <w:rFonts w:ascii="Arial" w:cs="Arial" w:eastAsia="Arial" w:hAnsi="Arial"/>
          <w:i/>
          <w:iCs/>
          <w:color w:val="666666"/>
          <w:sz w:val="20"/>
          <w:szCs w:val="20"/>
        </w:rPr>
        <w:t xml:space="preserve">Date</w:t>
      </w:r>
    </w:p>
    <w:p>
      <w:pPr>
        <w:spacing w:after="80"/>
      </w:pPr>
      <w:r>
        <w:rPr>
          <w:sz w:val="2"/>
          <w:szCs w:val="2"/>
        </w:rPr>
        <w:t xml:space="preserve"/>
      </w:r>
    </w:p>
    <w:p>
      <w:pPr>
        <w:spacing w:after="60" w:before="200"/>
      </w:pPr>
      <w:r>
        <w:rPr>
          <w:rFonts w:ascii="Arial" w:cs="Arial" w:eastAsia="Arial" w:hAnsi="Arial"/>
          <w:color w:val="666666"/>
          <w:sz w:val="22"/>
          <w:szCs w:val="22"/>
        </w:rPr>
        <w:t xml:space="preserve">__________________________________________________   </w:t>
      </w:r>
      <w:r>
        <w:rPr>
          <w:rFonts w:ascii="Arial" w:cs="Arial" w:eastAsia="Arial" w:hAnsi="Arial"/>
          <w:i/>
          <w:iCs/>
          <w:color w:val="666666"/>
          <w:sz w:val="20"/>
          <w:szCs w:val="20"/>
        </w:rPr>
        <w:t xml:space="preserve">Signature — Client 2 (if applicable)</w:t>
      </w:r>
    </w:p>
    <w:p>
      <w:pPr>
        <w:spacing w:after="60" w:before="200"/>
      </w:pPr>
      <w:r>
        <w:rPr>
          <w:rFonts w:ascii="Arial" w:cs="Arial" w:eastAsia="Arial" w:hAnsi="Arial"/>
          <w:color w:val="666666"/>
          <w:sz w:val="22"/>
          <w:szCs w:val="22"/>
        </w:rPr>
        <w:t xml:space="preserve">__________________________________________________   </w:t>
      </w:r>
      <w:r>
        <w:rPr>
          <w:rFonts w:ascii="Arial" w:cs="Arial" w:eastAsia="Arial" w:hAnsi="Arial"/>
          <w:i/>
          <w:iCs/>
          <w:color w:val="666666"/>
          <w:sz w:val="20"/>
          <w:szCs w:val="20"/>
        </w:rPr>
        <w:t xml:space="preserve">Date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680"/>
      </w:tabs>
    </w:pPr>
    <w:r>
      <w:rPr>
        <w:rFonts w:ascii="Arial" w:cs="Arial" w:eastAsia="Arial" w:hAnsi="Arial"/>
        <w:color w:val="888888"/>
        <w:sz w:val="16"/>
        <w:szCs w:val="16"/>
      </w:rPr>
      <w:t xml:space="preserve">Wealth Management Agreement (v.04.2026)    </w:t>
    </w:r>
    <w:r>
      <w:rPr>
        <w:rFonts w:ascii="Arial" w:cs="Arial" w:eastAsia="Arial" w:hAnsi="Arial"/>
        <w:color w:val="888888"/>
        <w:sz w:val="18"/>
        <w:szCs w:val="18"/>
      </w:rPr>
      <w:t xml:space="preserve">Page </w:t>
    </w:r>
    <w:fldSimple w:instr="PAGE">
      <w:r>
        <w:rPr>
          <w:rFonts w:ascii="Arial" w:cs="Arial" w:eastAsia="Arial" w:hAnsi="Arial"/>
          <w:color w:val="888888"/>
          <w:sz w:val="18"/>
          <w:szCs w:val="18"/>
        </w:rPr>
      </w:r>
    </w:fldSimple>
    <w:r>
      <w:rPr>
        <w:rFonts w:ascii="Arial" w:cs="Arial" w:eastAsia="Arial" w:hAnsi="Arial"/>
        <w:color w:val="888888"/>
        <w:sz w:val="18"/>
        <w:szCs w:val="18"/>
      </w:rPr>
      <w:t xml:space="preserve"> of </w:t>
    </w:r>
    <w:fldSimple w:instr="NUMPAGES">
      <w:r>
        <w:rPr>
          <w:rFonts w:ascii="Arial" w:cs="Arial" w:eastAsia="Arial" w:hAnsi="Arial"/>
          <w:color w:val="888888"/>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Confidential — Buckeye Wealth Partners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pPr>
      <w:keepNext/>
      <w:keepLines/>
    </w:pPr>
    <w:basedOn w:val="Normal"/>
    <w:next w:val="Normal"/>
    <w:qFormat/>
    <w:rPr>
      <w:color w:val="2E74B5"/>
      <w:sz w:val="32"/>
      <w:szCs w:val="32"/>
    </w:rPr>
  </w:style>
  <w:style w:type="paragraph" w:styleId="Heading2">
    <w:name w:val="Heading 2"/>
    <w:pPr>
      <w:keepNext/>
      <w:keepLines/>
    </w:pPr>
    <w:basedOn w:val="Normal"/>
    <w:next w:val="Normal"/>
    <w:qFormat/>
    <w:rPr>
      <w:color w:val="2E74B5"/>
      <w:sz w:val="26"/>
      <w:szCs w:val="26"/>
    </w:rPr>
  </w:style>
  <w:style w:type="paragraph" w:styleId="Heading3">
    <w:name w:val="Heading 3"/>
    <w:pPr>
      <w:keepNext/>
      <w:keepLines/>
    </w:pPr>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2026-04-13T13:43:22.075Z</dcterms:created>
  <dcterms:modified xsi:type="dcterms:W3CDTF">2026-04-13T13:43:22.076Z</dcterms:modified>
</cp:coreProperties>
</file>

<file path=docProps/custom.xml><?xml version="1.0" encoding="utf-8"?>
<Properties xmlns="http://schemas.openxmlformats.org/officeDocument/2006/custom-properties" xmlns:vt="http://schemas.openxmlformats.org/officeDocument/2006/docPropsVTypes"/>
</file>