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5C"/>
          <w:sz w:val="36"/>
          <w:szCs w:val="36"/>
        </w:rPr>
        <w:t xml:space="preserve">BUCKEYE WEALTH PARTNERS LLC</w:t>
      </w:r>
    </w:p>
    <w:p>
      <w:pPr>
        <w:spacing w:after="160"/>
        <w:jc w:val="center"/>
      </w:pPr>
      <w:r>
        <w:rPr>
          <w:rFonts w:ascii="Arial" w:cs="Arial" w:eastAsia="Arial" w:hAnsi="Arial"/>
          <w:b/>
          <w:bCs/>
          <w:color w:val="1B3A5C"/>
          <w:sz w:val="32"/>
          <w:szCs w:val="32"/>
        </w:rPr>
        <w:t xml:space="preserve">Investment Adviser Compliance Manual</w:t>
      </w:r>
    </w:p>
    <w:p>
      <w:pPr>
        <w:spacing w:after="160"/>
        <w:jc w:val="center"/>
      </w:pPr>
      <w:r>
        <w:rPr>
          <w:rFonts w:ascii="Arial" w:cs="Arial" w:eastAsia="Arial" w:hAnsi="Arial"/>
          <w:b/>
          <w:bCs/>
          <w:color w:val="1B3A5C"/>
          <w:sz w:val="32"/>
          <w:szCs w:val="32"/>
        </w:rPr>
        <w:t xml:space="preserve">&amp; Written Supervisory Procedures</w:t>
      </w:r>
    </w:p>
    <w:p>
      <w:pPr>
        <w:spacing w:after="240"/>
        <w:jc w:val="center"/>
      </w:pPr>
      <w:r>
        <w:rPr>
          <w:rFonts w:ascii="Arial" w:cs="Arial" w:eastAsia="Arial" w:hAnsi="Arial"/>
          <w:color w:val="666666"/>
          <w:sz w:val="24"/>
          <w:szCs w:val="24"/>
        </w:rPr>
        <w:t xml:space="preserve">Version: v.04.2026  |  Effective Date: April 13, 2026</w:t>
      </w:r>
    </w:p>
    <w:p>
      <w:pPr>
        <w:pBdr>
          <w:bottom w:color="CCCCCC" w:sz="6" w:space="1"/>
        </w:pBdr>
        <w:spacing w:after="160" w:before="160"/>
      </w:pPr>
    </w:p>
    <w:p>
      <w:pPr>
        <w:spacing w:after="120" w:before="240"/>
        <w:jc w:val="center"/>
      </w:pPr>
      <w:r>
        <w:rPr>
          <w:rFonts w:ascii="Arial" w:cs="Arial" w:eastAsia="Arial" w:hAnsi="Arial"/>
          <w:color w:val="666666"/>
          <w:sz w:val="24"/>
          <w:szCs w:val="24"/>
        </w:rPr>
        <w:t xml:space="preserve">203 W Franklin St, Dayton, OH 45459  |  (937) 434-1790</w:t>
      </w:r>
    </w:p>
    <w:p>
      <w:pPr>
        <w:spacing w:after="120"/>
        <w:jc w:val="center"/>
      </w:pPr>
      <w:r>
        <w:rPr>
          <w:rFonts w:ascii="Arial" w:cs="Arial" w:eastAsia="Arial" w:hAnsi="Arial"/>
          <w:color w:val="666666"/>
          <w:sz w:val="24"/>
          <w:szCs w:val="24"/>
        </w:rPr>
        <w:t xml:space="preserve">CRD# 126428  |  Ohio Division of Securities</w:t>
      </w:r>
    </w:p>
    <w:p>
      <w:pPr>
        <w:spacing w:after="240" w:before="360"/>
        <w:jc w:val="center"/>
      </w:pPr>
      <w:r>
        <w:rPr>
          <w:rFonts w:ascii="Arial" w:cs="Arial" w:eastAsia="Arial" w:hAnsi="Arial"/>
          <w:i/>
          <w:iCs/>
          <w:color w:val="666666"/>
          <w:sz w:val="20"/>
          <w:szCs w:val="20"/>
        </w:rPr>
        <w:t xml:space="preserve">CONFIDENTIAL — For the exclusive use of BWP supervised persons.</w:t>
      </w:r>
    </w:p>
    <w:p>
      <w:r>
        <w:br w:type="page"/>
      </w:r>
    </w:p>
    <w:p>
      <w:pPr>
        <w:pStyle w:val="Heading1"/>
        <w:keepNext/>
        <w:keepLines/>
        <w:spacing w:after="120" w:before="240"/>
      </w:pPr>
      <w:r>
        <w:rPr>
          <w:rFonts w:ascii="Arial" w:cs="Arial" w:eastAsia="Arial" w:hAnsi="Arial"/>
          <w:b/>
          <w:bCs/>
          <w:color w:val="1B3A5C"/>
          <w:sz w:val="32"/>
          <w:szCs w:val="32"/>
        </w:rPr>
        <w:t xml:space="preserve">Introduction</w:t>
      </w:r>
    </w:p>
    <w:p>
      <w:pPr>
        <w:pStyle w:val="Heading2"/>
        <w:keepNext/>
        <w:keepLines/>
        <w:spacing w:after="100" w:before="200"/>
      </w:pPr>
      <w:r>
        <w:rPr>
          <w:rFonts w:ascii="Arial" w:cs="Arial" w:eastAsia="Arial" w:hAnsi="Arial"/>
          <w:b/>
          <w:bCs/>
          <w:color w:val="2E6B9E"/>
          <w:sz w:val="28"/>
          <w:szCs w:val="28"/>
        </w:rPr>
        <w:t xml:space="preserve">Purpose</w:t>
      </w:r>
    </w:p>
    <w:p>
      <w:pPr>
        <w:spacing w:after="120" w:line="276" w:lineRule="auto"/>
      </w:pPr>
      <w:r>
        <w:rPr>
          <w:rFonts w:ascii="Arial" w:cs="Arial" w:eastAsia="Arial" w:hAnsi="Arial"/>
          <w:color w:val="1A1A1A"/>
          <w:sz w:val="24"/>
          <w:szCs w:val="24"/>
        </w:rPr>
        <w:t xml:space="preserve">This Manual contains the compliance and supervisory policies and procedures of Buckeye Wealth Partners, LLC ("BWP", "Advisor", or the "firm") and shall be followed by all supervised persons in the carrying out of their responsibilities with BWP. Our clients’ interests are our primary concern, and we will, therefore, conduct our business in a manner that fulfills our fiduciary duties when dealing with clients. It is the responsibility of every staff member of BWP to help ensure that BWP conducts its business in compliance with all applicable federal and state laws, rules, and regulations in keeping with the highest level of professional and ethical standards.</w:t>
      </w:r>
    </w:p>
    <w:p>
      <w:pPr>
        <w:pStyle w:val="Heading2"/>
        <w:keepNext/>
        <w:keepLines/>
        <w:spacing w:after="100" w:before="200"/>
      </w:pPr>
      <w:r>
        <w:rPr>
          <w:rFonts w:ascii="Arial" w:cs="Arial" w:eastAsia="Arial" w:hAnsi="Arial"/>
          <w:b/>
          <w:bCs/>
          <w:color w:val="2E6B9E"/>
          <w:sz w:val="28"/>
          <w:szCs w:val="28"/>
        </w:rPr>
        <w:t xml:space="preserve">Guidelines Only</w:t>
      </w:r>
    </w:p>
    <w:p>
      <w:pPr>
        <w:spacing w:after="120" w:line="276" w:lineRule="auto"/>
      </w:pPr>
      <w:r>
        <w:rPr>
          <w:rFonts w:ascii="Arial" w:cs="Arial" w:eastAsia="Arial" w:hAnsi="Arial"/>
          <w:color w:val="1A1A1A"/>
          <w:sz w:val="24"/>
          <w:szCs w:val="24"/>
        </w:rPr>
        <w:t xml:space="preserve">Compliance requires constant attention to BWP’s policies and obligations as they change. No manual or written set of policies can anticipate every business circumstance and, therefore, eliminate BWP’s regulatory and compliance risks. However, BWP believes these risks can be significantly reduced by implementing a comprehensive program of oversight aimed at ensuring that all supervised persons are familiar with and follow BWP’s compliance policies and procedures. The information and procedures provided within this Manual represent guidelines to be followed by each and every staff member of BWP under the overall direction of supervisory personnel.</w:t>
      </w:r>
    </w:p>
    <w:p>
      <w:pPr>
        <w:pStyle w:val="Heading2"/>
        <w:keepNext/>
        <w:keepLines/>
        <w:spacing w:after="100" w:before="200"/>
      </w:pPr>
      <w:r>
        <w:rPr>
          <w:rFonts w:ascii="Arial" w:cs="Arial" w:eastAsia="Arial" w:hAnsi="Arial"/>
          <w:b/>
          <w:bCs/>
          <w:color w:val="2E6B9E"/>
          <w:sz w:val="28"/>
          <w:szCs w:val="28"/>
        </w:rPr>
        <w:t xml:space="preserve">Periodic Review &amp; Amendments</w:t>
      </w:r>
    </w:p>
    <w:p>
      <w:pPr>
        <w:spacing w:after="120" w:line="276" w:lineRule="auto"/>
      </w:pPr>
      <w:r>
        <w:rPr>
          <w:rFonts w:ascii="Arial" w:cs="Arial" w:eastAsia="Arial" w:hAnsi="Arial"/>
          <w:color w:val="1A1A1A"/>
          <w:sz w:val="24"/>
          <w:szCs w:val="24"/>
        </w:rPr>
        <w:t xml:space="preserve">BWP’s CCO will review the firm’s policies and procedures at least annually to determine the adequacy of the policies and the effectiveness of their implementation. Such reviews will identify vulnerabilities and generate recommendations for adjustments and enhancements. The Manual will be amended as appropriate within a reasonable time after changes occur in federal and state securities laws, rules, and regulations, and as changes occur in BWP’s supervisory system.</w:t>
      </w:r>
    </w:p>
    <w:p>
      <w:pPr>
        <w:pStyle w:val="Heading2"/>
        <w:keepNext/>
        <w:keepLines/>
        <w:spacing w:after="100" w:before="200"/>
      </w:pPr>
      <w:r>
        <w:rPr>
          <w:rFonts w:ascii="Arial" w:cs="Arial" w:eastAsia="Arial" w:hAnsi="Arial"/>
          <w:b/>
          <w:bCs/>
          <w:color w:val="2E6B9E"/>
          <w:sz w:val="28"/>
          <w:szCs w:val="28"/>
        </w:rPr>
        <w:t xml:space="preserve">Questions</w:t>
      </w:r>
    </w:p>
    <w:p>
      <w:pPr>
        <w:spacing w:after="120" w:line="276" w:lineRule="auto"/>
      </w:pPr>
      <w:r>
        <w:rPr>
          <w:rFonts w:ascii="Arial" w:cs="Arial" w:eastAsia="Arial" w:hAnsi="Arial"/>
          <w:color w:val="1A1A1A"/>
          <w:sz w:val="24"/>
          <w:szCs w:val="24"/>
        </w:rPr>
        <w:t xml:space="preserve">Any questions concerning the policies and procedures contained within this Manual or regarding any regulations should be directed to the CCO.</w:t>
      </w:r>
    </w:p>
    <w:p>
      <w:pPr>
        <w:pStyle w:val="Heading2"/>
        <w:keepNext/>
        <w:keepLines/>
        <w:spacing w:after="100" w:before="200"/>
      </w:pPr>
      <w:r>
        <w:rPr>
          <w:rFonts w:ascii="Arial" w:cs="Arial" w:eastAsia="Arial" w:hAnsi="Arial"/>
          <w:b/>
          <w:bCs/>
          <w:color w:val="2E6B9E"/>
          <w:sz w:val="28"/>
          <w:szCs w:val="28"/>
        </w:rPr>
        <w:t xml:space="preserve">Use of Manual</w:t>
      </w:r>
    </w:p>
    <w:p>
      <w:pPr>
        <w:spacing w:after="120" w:line="276" w:lineRule="auto"/>
      </w:pPr>
      <w:r>
        <w:rPr>
          <w:rFonts w:ascii="Arial" w:cs="Arial" w:eastAsia="Arial" w:hAnsi="Arial"/>
          <w:color w:val="1A1A1A"/>
          <w:sz w:val="24"/>
          <w:szCs w:val="24"/>
        </w:rPr>
        <w:t xml:space="preserve">All supervised persons are required to read this Manual and confirm receipt and acceptance of responsibilities assigned to them. Copies of this Manual shall be maintained by all supervised persons. Revised versions will be periodically provided. State Securities regulations define “Supervised Persons” as any partner, officer, director (or other person occupying a similar status or performing similar functions), or employee of an investment adviser, or other person who provides investment advice on behalf of the investment adviser and is subject to the supervision and control of the investment adviser. In the SEC’s glossary, the term “employee” includes 1099 contractors.</w:t>
      </w:r>
    </w:p>
    <w:p>
      <w:pPr>
        <w:pStyle w:val="Heading1"/>
        <w:keepNext/>
        <w:keepLines/>
        <w:spacing w:after="120" w:before="240"/>
      </w:pPr>
      <w:r>
        <w:rPr>
          <w:rFonts w:ascii="Arial" w:cs="Arial" w:eastAsia="Arial" w:hAnsi="Arial"/>
          <w:b/>
          <w:bCs/>
          <w:color w:val="1B3A5C"/>
          <w:sz w:val="32"/>
          <w:szCs w:val="32"/>
        </w:rPr>
        <w:t xml:space="preserve">Compliance Program</w:t>
      </w:r>
    </w:p>
    <w:p>
      <w:pPr>
        <w:spacing w:after="120" w:line="276" w:lineRule="auto"/>
      </w:pPr>
      <w:r>
        <w:rPr>
          <w:rFonts w:ascii="Arial" w:cs="Arial" w:eastAsia="Arial" w:hAnsi="Arial"/>
          <w:color w:val="1A1A1A"/>
          <w:sz w:val="24"/>
          <w:szCs w:val="24"/>
        </w:rPr>
        <w:t xml:space="preserve">This compliance program is established pursuant to OAC 1301:6-3-44(H), which requires Ohio-registered investment advisers to adopt and implement written policies and procedures reasonably designed to prevent violations of Ohio securities laws and applicable federal regulations.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Registered Investment Advisers are required to have written compliance policies and procedures reasonably designed to prevent violations of the federal and state securities regulations. Regardless of its size or complexity, every registered investment adviser must adopt and implement supervisory procedures that are tailored specifically to their business and must address the activities of all its investment adviser representatives and supervised persons.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Every investment advisory firm must designate a Chief Compliance Officer ("CCO") to administer and enforce the policies and procedures outlined in this Manual. However, all supervised persons are responsible for instilling and maintaining a culture of compliance. All questions regarding this Manual or any compliance matters should be directed to the CCO.</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Adopted and implemented written policies and procedures that are reasonably designed to prevent violations of federal and state securities regulations (OAC 1301:6-3-44(H)).</w:t>
      </w:r>
    </w:p>
    <w:p>
      <w:pPr>
        <w:pStyle w:val="ListParagraph"/>
        <w:numPr>
          <w:ilvl w:val="0"/>
          <w:numId w:val="1"/>
        </w:numPr>
        <w:spacing w:after="80" w:line="276" w:lineRule="auto"/>
      </w:pPr>
      <w:r>
        <w:rPr>
          <w:rFonts w:ascii="Arial" w:cs="Arial" w:eastAsia="Arial" w:hAnsi="Arial"/>
          <w:color w:val="1A1A1A"/>
          <w:sz w:val="24"/>
          <w:szCs w:val="24"/>
        </w:rPr>
        <w:t xml:space="preserve">Designate a Chief Compliance Officer who is responsible for administering the policies and procedures.</w:t>
      </w:r>
    </w:p>
    <w:p>
      <w:pPr>
        <w:pStyle w:val="ListParagraph"/>
        <w:numPr>
          <w:ilvl w:val="0"/>
          <w:numId w:val="1"/>
        </w:numPr>
        <w:spacing w:after="80" w:line="276" w:lineRule="auto"/>
      </w:pPr>
      <w:r>
        <w:rPr>
          <w:rFonts w:ascii="Arial" w:cs="Arial" w:eastAsia="Arial" w:hAnsi="Arial"/>
          <w:color w:val="1A1A1A"/>
          <w:sz w:val="24"/>
          <w:szCs w:val="24"/>
        </w:rPr>
        <w:t xml:space="preserve">This Manual is distributed to all supervised persons within 10 days of their start date and all supervised persons must certify their receipt and understanding of the Manual.</w:t>
      </w:r>
    </w:p>
    <w:p>
      <w:pPr>
        <w:pStyle w:val="ListParagraph"/>
        <w:numPr>
          <w:ilvl w:val="0"/>
          <w:numId w:val="1"/>
        </w:numPr>
        <w:spacing w:after="80" w:line="276" w:lineRule="auto"/>
      </w:pPr>
      <w:r>
        <w:rPr>
          <w:rFonts w:ascii="Arial" w:cs="Arial" w:eastAsia="Arial" w:hAnsi="Arial"/>
          <w:color w:val="1A1A1A"/>
          <w:sz w:val="24"/>
          <w:szCs w:val="24"/>
        </w:rPr>
        <w:t xml:space="preserve">Reviews of the adequacy and effectiveness of the policies and procedures occur at least annually. These reviews may be conducted directly by the CCO, or by another staff member appointed by the CCO.</w:t>
      </w:r>
    </w:p>
    <w:p>
      <w:pPr>
        <w:pStyle w:val="ListParagraph"/>
        <w:numPr>
          <w:ilvl w:val="0"/>
          <w:numId w:val="1"/>
        </w:numPr>
        <w:spacing w:after="80" w:line="276" w:lineRule="auto"/>
      </w:pPr>
      <w:r>
        <w:rPr>
          <w:rFonts w:ascii="Arial" w:cs="Arial" w:eastAsia="Arial" w:hAnsi="Arial"/>
          <w:color w:val="1A1A1A"/>
          <w:sz w:val="24"/>
          <w:szCs w:val="24"/>
        </w:rPr>
        <w:t xml:space="preserve">Supervised persons meet regularly, but no less than annually, to stay current with any compliance issues or initiatives for the firm.</w:t>
      </w:r>
    </w:p>
    <w:p>
      <w:pPr>
        <w:pStyle w:val="ListParagraph"/>
        <w:numPr>
          <w:ilvl w:val="0"/>
          <w:numId w:val="1"/>
        </w:numPr>
        <w:spacing w:after="80" w:line="276" w:lineRule="auto"/>
      </w:pPr>
      <w:r>
        <w:rPr>
          <w:rFonts w:ascii="Arial" w:cs="Arial" w:eastAsia="Arial" w:hAnsi="Arial"/>
          <w:color w:val="1A1A1A"/>
          <w:sz w:val="24"/>
          <w:szCs w:val="24"/>
        </w:rPr>
        <w:t xml:space="preserve">Maintain all versions of the Manual and annual reviews for the required retention period.</w:t>
      </w:r>
    </w:p>
    <w:p>
      <w:pPr>
        <w:pStyle w:val="Heading2"/>
        <w:keepNext/>
        <w:keepLines/>
        <w:spacing w:after="100" w:before="200"/>
      </w:pPr>
      <w:r>
        <w:rPr>
          <w:rFonts w:ascii="Arial" w:cs="Arial" w:eastAsia="Arial" w:hAnsi="Arial"/>
          <w:b/>
          <w:bCs/>
          <w:color w:val="2E6B9E"/>
          <w:sz w:val="28"/>
          <w:szCs w:val="28"/>
        </w:rPr>
        <w:t xml:space="preserve">Compliance Events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It is the responsibility of the Advisor to document non-compliance or violations of the firm’s policies and procedures.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Any non-compliance with the firm’s written policies and procedures is documented and reported to the appropriate supervisory person.</w:t>
      </w:r>
    </w:p>
    <w:p>
      <w:pPr>
        <w:pStyle w:val="Heading3"/>
        <w:keepNext/>
        <w:keepLines/>
        <w:spacing w:after="80" w:before="160"/>
      </w:pPr>
      <w:r>
        <w:rPr>
          <w:rFonts w:ascii="Arial" w:cs="Arial" w:eastAsia="Arial" w:hAnsi="Arial"/>
          <w:b/>
          <w:bCs/>
          <w:color w:val="1A1A1A"/>
          <w:sz w:val="24"/>
          <w:szCs w:val="24"/>
        </w:rPr>
        <w:t xml:space="preserve">Procedures</w:t>
      </w:r>
    </w:p>
    <w:p>
      <w:pPr>
        <w:spacing w:after="120" w:line="276" w:lineRule="auto"/>
      </w:pPr>
      <w:r>
        <w:rPr>
          <w:rFonts w:ascii="Arial" w:cs="Arial" w:eastAsia="Arial" w:hAnsi="Arial"/>
          <w:color w:val="1A1A1A"/>
          <w:sz w:val="24"/>
          <w:szCs w:val="24"/>
        </w:rPr>
        <w:t xml:space="preserve">When non-compliance is discovered, the following actions will be taken:</w:t>
      </w:r>
    </w:p>
    <w:p>
      <w:pPr>
        <w:pStyle w:val="ListParagraph"/>
        <w:numPr>
          <w:ilvl w:val="0"/>
          <w:numId w:val="1"/>
        </w:numPr>
        <w:spacing w:after="80" w:line="276" w:lineRule="auto"/>
      </w:pPr>
      <w:r>
        <w:rPr>
          <w:rFonts w:ascii="Arial" w:cs="Arial" w:eastAsia="Arial" w:hAnsi="Arial"/>
          <w:color w:val="1A1A1A"/>
          <w:sz w:val="24"/>
          <w:szCs w:val="24"/>
        </w:rPr>
        <w:t xml:space="preserve">The non-compliance event will be recorded in the Compliance Events log, including the name of staff member, title, policy violated, description of the event and corrective action taken.</w:t>
      </w:r>
    </w:p>
    <w:p>
      <w:pPr>
        <w:pStyle w:val="ListParagraph"/>
        <w:numPr>
          <w:ilvl w:val="0"/>
          <w:numId w:val="1"/>
        </w:numPr>
        <w:spacing w:after="80" w:line="276" w:lineRule="auto"/>
      </w:pPr>
      <w:r>
        <w:rPr>
          <w:rFonts w:ascii="Arial" w:cs="Arial" w:eastAsia="Arial" w:hAnsi="Arial"/>
          <w:color w:val="1A1A1A"/>
          <w:sz w:val="24"/>
          <w:szCs w:val="24"/>
        </w:rPr>
        <w:t xml:space="preserve">Controls covering the violated policy will be assessed to determine effectiveness. Controls may be updated and/or created as a result of a violated policy.</w:t>
      </w:r>
    </w:p>
    <w:p>
      <w:pPr>
        <w:pStyle w:val="Heading1"/>
        <w:keepNext/>
        <w:keepLines/>
        <w:spacing w:after="120" w:before="240"/>
      </w:pPr>
      <w:r>
        <w:rPr>
          <w:rFonts w:ascii="Arial" w:cs="Arial" w:eastAsia="Arial" w:hAnsi="Arial"/>
          <w:b/>
          <w:bCs/>
          <w:color w:val="1B3A5C"/>
          <w:sz w:val="32"/>
          <w:szCs w:val="32"/>
        </w:rPr>
        <w:t xml:space="preserve">Annual Compliance Review (OAC 1301:6-3-44(H))</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Ohio law (OAC 1301:6-3-44(H)) requires investment advisers to conduct periodic reviews of the adequacy and effectiveness of compliance policies and procedures. These reviews must be formally documented and signed by the CCO. An undocumented review is treated by regulators as if no review occurred.</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The CCO shall conduct a written annual compliance review. The review shall be completed no later than December 31 of each calendar year (or such other date as circumstances require). The review shall assess each major policy area of this Manual, identify any compliance events or violations discovered during the year, document any regulatory changes requiring manual updates, and set forth recommendations for the following year.</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CCO shall prepare an Annual Compliance Review Report covering: (i) scope of review and policy areas examined; (ii) summary of findings for each policy area; (iii) any violations, incidents, or near-misses discovered during the year; (iv) policy changes made during the year; and (v) action items and recommendations for the upcoming year.</w:t>
      </w:r>
    </w:p>
    <w:p>
      <w:pPr>
        <w:pStyle w:val="ListParagraph"/>
        <w:numPr>
          <w:ilvl w:val="0"/>
          <w:numId w:val="1"/>
        </w:numPr>
        <w:spacing w:after="80" w:line="276" w:lineRule="auto"/>
      </w:pPr>
      <w:r>
        <w:rPr>
          <w:rFonts w:ascii="Arial" w:cs="Arial" w:eastAsia="Arial" w:hAnsi="Arial"/>
          <w:color w:val="1A1A1A"/>
          <w:sz w:val="24"/>
          <w:szCs w:val="24"/>
        </w:rPr>
        <w:t xml:space="preserve">The CCO shall sign and date the Annual Compliance Review Report.</w:t>
      </w:r>
    </w:p>
    <w:p>
      <w:pPr>
        <w:pStyle w:val="ListParagraph"/>
        <w:numPr>
          <w:ilvl w:val="0"/>
          <w:numId w:val="1"/>
        </w:numPr>
        <w:spacing w:after="80" w:line="276" w:lineRule="auto"/>
      </w:pPr>
      <w:r>
        <w:rPr>
          <w:rFonts w:ascii="Arial" w:cs="Arial" w:eastAsia="Arial" w:hAnsi="Arial"/>
          <w:color w:val="1A1A1A"/>
          <w:sz w:val="24"/>
          <w:szCs w:val="24"/>
        </w:rPr>
        <w:t xml:space="preserve">The signed Annual Compliance Review Report shall be retained for five (5) years per OAC 1301:6-3-15.1(E).</w:t>
      </w:r>
    </w:p>
    <w:p>
      <w:pPr>
        <w:pStyle w:val="ListParagraph"/>
        <w:numPr>
          <w:ilvl w:val="0"/>
          <w:numId w:val="1"/>
        </w:numPr>
        <w:spacing w:after="80" w:line="276" w:lineRule="auto"/>
      </w:pPr>
      <w:r>
        <w:rPr>
          <w:rFonts w:ascii="Arial" w:cs="Arial" w:eastAsia="Arial" w:hAnsi="Arial"/>
          <w:color w:val="1A1A1A"/>
          <w:sz w:val="24"/>
          <w:szCs w:val="24"/>
        </w:rPr>
        <w:t xml:space="preserve">The report need not be filed with any regulator but must be promptly produced upon request by the Ohio Division of Securities.</w:t>
      </w:r>
    </w:p>
    <w:p>
      <w:pPr>
        <w:pStyle w:val="ListParagraph"/>
        <w:numPr>
          <w:ilvl w:val="0"/>
          <w:numId w:val="1"/>
        </w:numPr>
        <w:spacing w:after="80" w:line="276" w:lineRule="auto"/>
      </w:pPr>
      <w:r>
        <w:rPr>
          <w:rFonts w:ascii="Arial" w:cs="Arial" w:eastAsia="Arial" w:hAnsi="Arial"/>
          <w:color w:val="1A1A1A"/>
          <w:sz w:val="24"/>
          <w:szCs w:val="24"/>
        </w:rPr>
        <w:t xml:space="preserve">The Annual Compliance Review may be conducted by the CCO directly, or by a qualified designee appointed by the CCO, but must be reviewed and signed by the CCO in all cases.</w:t>
      </w:r>
    </w:p>
    <w:p>
      <w:pPr>
        <w:pStyle w:val="Heading1"/>
        <w:keepNext/>
        <w:keepLines/>
        <w:spacing w:after="120" w:before="240"/>
      </w:pPr>
      <w:r>
        <w:rPr>
          <w:rFonts w:ascii="Arial" w:cs="Arial" w:eastAsia="Arial" w:hAnsi="Arial"/>
          <w:b/>
          <w:bCs/>
          <w:color w:val="1B3A5C"/>
          <w:sz w:val="32"/>
          <w:szCs w:val="32"/>
        </w:rPr>
        <w:t xml:space="preserve">Registration</w:t>
      </w:r>
    </w:p>
    <w:p>
      <w:pPr>
        <w:pStyle w:val="Heading2"/>
        <w:keepNext/>
        <w:keepLines/>
        <w:spacing w:after="100" w:before="200"/>
      </w:pPr>
      <w:r>
        <w:rPr>
          <w:rFonts w:ascii="Arial" w:cs="Arial" w:eastAsia="Arial" w:hAnsi="Arial"/>
          <w:b/>
          <w:bCs/>
          <w:color w:val="2E6B9E"/>
          <w:sz w:val="28"/>
          <w:szCs w:val="28"/>
        </w:rPr>
        <w:t xml:space="preserve">Investment Adviser Registration</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As a Registered Investment Adviser, BWP is required to be registered with and comply with appropriate regulations. We are required to maintain such registrations on an annual basis through the timely payment of renewal fees.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must maintain registration in any jurisdiction where it has a place of business. Place of business is generally defined as: (i) an office at which the investment adviser regularly provides investment advisory services, solicits, meets with, or otherwise communicates with clients; and (ii) any other location that is held out to the general public as a location at which the investment adviser provides investment advisory services, solicits, meets with, or otherwise communicates with clients. Additionally, BWP cannot provide advisory services to more than 5 clients unless properly registered. As of the most recent fiscal year-end, BWP is currently registered in Ohio and Louisiana.</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Client count and state of client residences are reviewed on an ongoing basis.</w:t>
      </w:r>
    </w:p>
    <w:p>
      <w:pPr>
        <w:pStyle w:val="ListParagraph"/>
        <w:numPr>
          <w:ilvl w:val="0"/>
          <w:numId w:val="1"/>
        </w:numPr>
        <w:spacing w:after="80" w:line="276" w:lineRule="auto"/>
      </w:pPr>
      <w:r>
        <w:rPr>
          <w:rFonts w:ascii="Arial" w:cs="Arial" w:eastAsia="Arial" w:hAnsi="Arial"/>
          <w:color w:val="1A1A1A"/>
          <w:sz w:val="24"/>
          <w:szCs w:val="24"/>
        </w:rPr>
        <w:t xml:space="preserve">The CCO shall review the Preliminary Renewal Statement available through the FINRA Gateway at the end of each year to assess if the firm or any of its registered personnel need to add or remove jurisdictions.</w:t>
      </w:r>
    </w:p>
    <w:p>
      <w:pPr>
        <w:pStyle w:val="ListParagraph"/>
        <w:numPr>
          <w:ilvl w:val="0"/>
          <w:numId w:val="1"/>
        </w:numPr>
        <w:spacing w:after="80" w:line="276" w:lineRule="auto"/>
      </w:pPr>
      <w:r>
        <w:rPr>
          <w:rFonts w:ascii="Arial" w:cs="Arial" w:eastAsia="Arial" w:hAnsi="Arial"/>
          <w:color w:val="1A1A1A"/>
          <w:sz w:val="24"/>
          <w:szCs w:val="24"/>
        </w:rPr>
        <w:t xml:space="preserve">Regardless of pending changes to the firm’s or any of its registered personnel’s registration status, full payment of the Preliminary Renewal fees must be paid by the required deadline through FINRA’s Gateway Portal, E-Bill.</w:t>
      </w:r>
    </w:p>
    <w:p>
      <w:pPr>
        <w:pStyle w:val="ListParagraph"/>
        <w:numPr>
          <w:ilvl w:val="0"/>
          <w:numId w:val="1"/>
        </w:numPr>
        <w:spacing w:after="80" w:line="276" w:lineRule="auto"/>
      </w:pPr>
      <w:r>
        <w:rPr>
          <w:rFonts w:ascii="Arial" w:cs="Arial" w:eastAsia="Arial" w:hAnsi="Arial"/>
          <w:color w:val="1A1A1A"/>
          <w:sz w:val="24"/>
          <w:szCs w:val="24"/>
        </w:rPr>
        <w:t xml:space="preserve">At the beginning of each calendar year, Advisor shall review the Final Renewal Statement available through the FINRA Gateway to ensure fees were properly debited and no remaining balance is due.</w:t>
      </w:r>
    </w:p>
    <w:p>
      <w:pPr>
        <w:pStyle w:val="ListParagraph"/>
        <w:numPr>
          <w:ilvl w:val="0"/>
          <w:numId w:val="1"/>
        </w:numPr>
        <w:spacing w:after="80" w:line="276" w:lineRule="auto"/>
      </w:pPr>
      <w:r>
        <w:rPr>
          <w:rFonts w:ascii="Arial" w:cs="Arial" w:eastAsia="Arial" w:hAnsi="Arial"/>
          <w:color w:val="1A1A1A"/>
          <w:sz w:val="24"/>
          <w:szCs w:val="24"/>
        </w:rPr>
        <w:t xml:space="preserve">BWP will not provide advisory services to any clients in which the firm is not registered or exempt from registration.</w:t>
      </w:r>
    </w:p>
    <w:p>
      <w:pPr>
        <w:pStyle w:val="Heading2"/>
        <w:keepNext/>
        <w:keepLines/>
        <w:spacing w:after="100" w:before="200"/>
      </w:pPr>
      <w:r>
        <w:rPr>
          <w:rFonts w:ascii="Arial" w:cs="Arial" w:eastAsia="Arial" w:hAnsi="Arial"/>
          <w:b/>
          <w:bCs/>
          <w:color w:val="2E6B9E"/>
          <w:sz w:val="28"/>
          <w:szCs w:val="28"/>
        </w:rPr>
        <w:t xml:space="preserve">SEC Registration Threshold Monitoring</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Ohio-registered investment advisers must register with the SEC when regulatory assets under management (RAUM) reach $110M (subject to an election window between $100M and $110M). Advisers Act Section 203A governs this threshold.</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The CCO shall monitor RAUM on a quarterly basis. If RAUM approaches $100M, the CCO shall consult with counsel to plan the transition to SEC registration. If RAUM exceeds $110M, a mandatory SEC registration application must be filed promptly.</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CCO shall review total regulatory AUM as reported in Form ADV Part 1 on a quarterly basis.</w:t>
      </w:r>
    </w:p>
    <w:p>
      <w:pPr>
        <w:pStyle w:val="ListParagraph"/>
        <w:numPr>
          <w:ilvl w:val="0"/>
          <w:numId w:val="1"/>
        </w:numPr>
        <w:spacing w:after="80" w:line="276" w:lineRule="auto"/>
      </w:pPr>
      <w:r>
        <w:rPr>
          <w:rFonts w:ascii="Arial" w:cs="Arial" w:eastAsia="Arial" w:hAnsi="Arial"/>
          <w:color w:val="1A1A1A"/>
          <w:sz w:val="24"/>
          <w:szCs w:val="24"/>
        </w:rPr>
        <w:t xml:space="preserve">If RAUM approaches $90M, the CCO shall initiate planning for potential SEC registration transition.</w:t>
      </w:r>
    </w:p>
    <w:p>
      <w:pPr>
        <w:pStyle w:val="ListParagraph"/>
        <w:numPr>
          <w:ilvl w:val="0"/>
          <w:numId w:val="1"/>
        </w:numPr>
        <w:spacing w:after="80" w:line="276" w:lineRule="auto"/>
      </w:pPr>
      <w:r>
        <w:rPr>
          <w:rFonts w:ascii="Arial" w:cs="Arial" w:eastAsia="Arial" w:hAnsi="Arial"/>
          <w:color w:val="1A1A1A"/>
          <w:sz w:val="24"/>
          <w:szCs w:val="24"/>
        </w:rPr>
        <w:t xml:space="preserve">If RAUM exceeds $100M, the CCO shall consult with securities counsel regarding the registration election window.</w:t>
      </w:r>
    </w:p>
    <w:p>
      <w:pPr>
        <w:pStyle w:val="ListParagraph"/>
        <w:numPr>
          <w:ilvl w:val="0"/>
          <w:numId w:val="1"/>
        </w:numPr>
        <w:spacing w:after="80" w:line="276" w:lineRule="auto"/>
      </w:pPr>
      <w:r>
        <w:rPr>
          <w:rFonts w:ascii="Arial" w:cs="Arial" w:eastAsia="Arial" w:hAnsi="Arial"/>
          <w:color w:val="1A1A1A"/>
          <w:sz w:val="24"/>
          <w:szCs w:val="24"/>
        </w:rPr>
        <w:t xml:space="preserve">If RAUM exceeds $110M, the CCO shall initiate SEC registration promptly as required by law.</w:t>
      </w:r>
    </w:p>
    <w:p>
      <w:pPr>
        <w:pStyle w:val="Heading2"/>
        <w:keepNext/>
        <w:keepLines/>
        <w:spacing w:after="100" w:before="200"/>
      </w:pPr>
      <w:r>
        <w:rPr>
          <w:rFonts w:ascii="Arial" w:cs="Arial" w:eastAsia="Arial" w:hAnsi="Arial"/>
          <w:b/>
          <w:bCs/>
          <w:color w:val="2E6B9E"/>
          <w:sz w:val="28"/>
          <w:szCs w:val="28"/>
        </w:rPr>
        <w:t xml:space="preserve">Investment Adviser Representative Registration</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Every state has its own definition of investment adviser representative ("IAR"). IAR is generally defined as any partner, officer, director of, or a person occupying a similar status or performing similar functions, or other individual, except clerical or ministerial personnel, who is employed by or associated with a registered investment adviser and who: (i) makes recommendations or otherwise renders advice regarding securities; (ii) manages accounts or portfolios of clients; (iii) determines which recommendations or advice regarding securities should be given; (iv) prepares reports or analyses concerning securities; (v) solicits, offers or negotiates for the sale of or sells investment advisory services; or (vi) supervises employees who perform any of the foregoing. IAR registrations must be renewed on an annual basis.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Individuals deemed an IAR are required to maintain appropriate registrations in accordance with each state’s regulations unless otherwise exempt from such requirements.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Prior to the hiring of new supervised persons, a background check and credit check will be made on applicants, as appropriate, to determine reputation, qualification, and experience. A written record of each completed background check and/or credit check will be kept in the appropriate staff member’s file.</w:t>
      </w:r>
    </w:p>
    <w:p>
      <w:pPr>
        <w:pStyle w:val="ListParagraph"/>
        <w:numPr>
          <w:ilvl w:val="0"/>
          <w:numId w:val="1"/>
        </w:numPr>
        <w:spacing w:after="80" w:line="276" w:lineRule="auto"/>
      </w:pPr>
      <w:r>
        <w:rPr>
          <w:rFonts w:ascii="Arial" w:cs="Arial" w:eastAsia="Arial" w:hAnsi="Arial"/>
          <w:color w:val="1A1A1A"/>
          <w:sz w:val="24"/>
          <w:szCs w:val="24"/>
        </w:rPr>
        <w:t xml:space="preserve">All IARs will be interviewed concerning any investigations, complaints, or "Yes" answers in Section 14 of the Form U-4. The firm will require the submission of a completed DRP (Disclosure Reporting Page) and applicable supporting documentation for any "Yes" answers in Section 14 of the Form U-4. Any of these items will require clearance by the CCO prior to association with the firm.</w:t>
      </w:r>
    </w:p>
    <w:p>
      <w:pPr>
        <w:pStyle w:val="ListParagraph"/>
        <w:numPr>
          <w:ilvl w:val="0"/>
          <w:numId w:val="1"/>
        </w:numPr>
        <w:spacing w:after="80" w:line="276" w:lineRule="auto"/>
      </w:pPr>
      <w:r>
        <w:rPr>
          <w:rFonts w:ascii="Arial" w:cs="Arial" w:eastAsia="Arial" w:hAnsi="Arial"/>
          <w:color w:val="1A1A1A"/>
          <w:sz w:val="24"/>
          <w:szCs w:val="24"/>
        </w:rPr>
        <w:t xml:space="preserve">The CCO shall file each IAR’s Form U4 via the FINRA Gateway and pay the appropriate registration and filing fees upon initial IAR onboarding.</w:t>
      </w:r>
    </w:p>
    <w:p>
      <w:pPr>
        <w:pStyle w:val="ListParagraph"/>
        <w:numPr>
          <w:ilvl w:val="0"/>
          <w:numId w:val="1"/>
        </w:numPr>
        <w:spacing w:after="80" w:line="276" w:lineRule="auto"/>
      </w:pPr>
      <w:r>
        <w:rPr>
          <w:rFonts w:ascii="Arial" w:cs="Arial" w:eastAsia="Arial" w:hAnsi="Arial"/>
          <w:color w:val="1A1A1A"/>
          <w:sz w:val="24"/>
          <w:szCs w:val="24"/>
        </w:rPr>
        <w:t xml:space="preserve">Supervised persons may not provide investment advice to any client until they have received notice from the CCO that they have been granted registration approval from the appropriate jurisdiction(s).</w:t>
      </w:r>
    </w:p>
    <w:p>
      <w:pPr>
        <w:pStyle w:val="ListParagraph"/>
        <w:numPr>
          <w:ilvl w:val="0"/>
          <w:numId w:val="1"/>
        </w:numPr>
        <w:spacing w:after="80" w:line="276" w:lineRule="auto"/>
      </w:pPr>
      <w:r>
        <w:rPr>
          <w:rFonts w:ascii="Arial" w:cs="Arial" w:eastAsia="Arial" w:hAnsi="Arial"/>
          <w:color w:val="1A1A1A"/>
          <w:sz w:val="24"/>
          <w:szCs w:val="24"/>
        </w:rPr>
        <w:t xml:space="preserve">The CCO is responsible for ensuring all IAR professional designations remain current.</w:t>
      </w:r>
    </w:p>
    <w:p>
      <w:pPr>
        <w:pStyle w:val="ListParagraph"/>
        <w:numPr>
          <w:ilvl w:val="0"/>
          <w:numId w:val="1"/>
        </w:numPr>
        <w:spacing w:after="80" w:line="276" w:lineRule="auto"/>
      </w:pPr>
      <w:r>
        <w:rPr>
          <w:rFonts w:ascii="Arial" w:cs="Arial" w:eastAsia="Arial" w:hAnsi="Arial"/>
          <w:color w:val="1A1A1A"/>
          <w:sz w:val="24"/>
          <w:szCs w:val="24"/>
        </w:rPr>
        <w:t xml:space="preserve">Annually, the CCO or designee shall review all Form U4s on file to ensure information is still accurate and reflects any changes that have taken place in the previous year. Each IAR is responsible for notifying the CCO of any changes that would affect their Form U4.</w:t>
      </w:r>
    </w:p>
    <w:p>
      <w:pPr>
        <w:pStyle w:val="ListParagraph"/>
        <w:numPr>
          <w:ilvl w:val="0"/>
          <w:numId w:val="1"/>
        </w:numPr>
        <w:spacing w:after="80" w:line="276" w:lineRule="auto"/>
      </w:pPr>
      <w:r>
        <w:rPr>
          <w:rFonts w:ascii="Arial" w:cs="Arial" w:eastAsia="Arial" w:hAnsi="Arial"/>
          <w:color w:val="1A1A1A"/>
          <w:sz w:val="24"/>
          <w:szCs w:val="24"/>
        </w:rPr>
        <w:t xml:space="preserve">Should an IAR of the Advisor be terminated either voluntarily or involuntarily, a Form U5 shall be filed within 30 days of the date of termination. A copy of the Form U5 shall be provided to the IAR within 30 days of the filing.</w:t>
      </w:r>
    </w:p>
    <w:p>
      <w:pPr>
        <w:pStyle w:val="Heading2"/>
        <w:keepNext/>
        <w:keepLines/>
        <w:spacing w:after="100" w:before="200"/>
      </w:pPr>
      <w:r>
        <w:rPr>
          <w:rFonts w:ascii="Arial" w:cs="Arial" w:eastAsia="Arial" w:hAnsi="Arial"/>
          <w:b/>
          <w:bCs/>
          <w:color w:val="2E6B9E"/>
          <w:sz w:val="28"/>
          <w:szCs w:val="28"/>
        </w:rPr>
        <w:t xml:space="preserve">Hiring and Training</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State Securities regulations define “Supervised Persons” as any partner, officer, director (or other person occupying a similar status or performing similar functions), or employee of an investment adviser, or other person who provides investment advice on behalf of the investment adviser and is subject to the supervision and control of the investment adviser. In the SEC’s glossary, the term “employee” includes 1099 contractors.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Whether in the capacity of a W-2 employee or 1099 Contractor, supervised persons, including but not limited to interns, virtual assistants, employees, or other staff that perform advisory functions on the Advisor’s behalf, are subject to compliance with the content of this Manual.</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All other business activities, whether paid or unpaid, must be reported to the CCO. The CCO will assess any conflicts of interest that may arise from such outside business activity.</w:t>
      </w:r>
    </w:p>
    <w:p>
      <w:pPr>
        <w:pStyle w:val="ListParagraph"/>
        <w:numPr>
          <w:ilvl w:val="0"/>
          <w:numId w:val="1"/>
        </w:numPr>
        <w:spacing w:after="80" w:line="276" w:lineRule="auto"/>
      </w:pPr>
      <w:r>
        <w:rPr>
          <w:rFonts w:ascii="Arial" w:cs="Arial" w:eastAsia="Arial" w:hAnsi="Arial"/>
          <w:color w:val="1A1A1A"/>
          <w:sz w:val="24"/>
          <w:szCs w:val="24"/>
        </w:rPr>
        <w:t xml:space="preserve">The CCO shall be responsible for participating in the hiring and training of all supervised persons of the firm.</w:t>
      </w:r>
    </w:p>
    <w:p>
      <w:pPr>
        <w:pStyle w:val="ListParagraph"/>
        <w:numPr>
          <w:ilvl w:val="0"/>
          <w:numId w:val="1"/>
        </w:numPr>
        <w:spacing w:after="80" w:line="276" w:lineRule="auto"/>
      </w:pPr>
      <w:r>
        <w:rPr>
          <w:rFonts w:ascii="Arial" w:cs="Arial" w:eastAsia="Arial" w:hAnsi="Arial"/>
          <w:color w:val="1A1A1A"/>
          <w:sz w:val="24"/>
          <w:szCs w:val="24"/>
        </w:rPr>
        <w:t xml:space="preserve">From time to time, the firm may obtain an Investigative Consumer Report which consists of information from public and private sources, public records, former employers, and references. The report must be conducted in accordance with applicable federal and state laws, including the Fair Credit Reporting Act.</w:t>
      </w:r>
    </w:p>
    <w:p>
      <w:pPr>
        <w:pStyle w:val="ListParagraph"/>
        <w:numPr>
          <w:ilvl w:val="0"/>
          <w:numId w:val="1"/>
        </w:numPr>
        <w:spacing w:after="80" w:line="276" w:lineRule="auto"/>
      </w:pPr>
      <w:r>
        <w:rPr>
          <w:rFonts w:ascii="Arial" w:cs="Arial" w:eastAsia="Arial" w:hAnsi="Arial"/>
          <w:color w:val="1A1A1A"/>
          <w:sz w:val="24"/>
          <w:szCs w:val="24"/>
        </w:rPr>
        <w:t xml:space="preserve">A list of active employees, both registered and unregistered, will be maintained for the required retention period.</w:t>
      </w:r>
    </w:p>
    <w:p>
      <w:pPr>
        <w:pStyle w:val="ListParagraph"/>
        <w:numPr>
          <w:ilvl w:val="0"/>
          <w:numId w:val="1"/>
        </w:numPr>
        <w:spacing w:after="80" w:line="276" w:lineRule="auto"/>
      </w:pPr>
      <w:r>
        <w:rPr>
          <w:rFonts w:ascii="Arial" w:cs="Arial" w:eastAsia="Arial" w:hAnsi="Arial"/>
          <w:color w:val="1A1A1A"/>
          <w:sz w:val="24"/>
          <w:szCs w:val="24"/>
        </w:rPr>
        <w:t xml:space="preserve">A list of terminated employees, both registered and unregistered, will be maintained for the required retention period. The list shall include the reason for termination and termination date.</w:t>
      </w:r>
    </w:p>
    <w:p>
      <w:pPr>
        <w:pStyle w:val="Heading1"/>
        <w:keepNext/>
        <w:keepLines/>
        <w:spacing w:after="120" w:before="240"/>
      </w:pPr>
      <w:r>
        <w:rPr>
          <w:rFonts w:ascii="Arial" w:cs="Arial" w:eastAsia="Arial" w:hAnsi="Arial"/>
          <w:b/>
          <w:bCs/>
          <w:color w:val="1B3A5C"/>
          <w:sz w:val="32"/>
          <w:szCs w:val="32"/>
        </w:rPr>
        <w:t xml:space="preserve">Books and Records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Registered Investment Advisers are required to make and keep true, accurate, and current certain books and records relating to their investment advisory business.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We maintain required firm and client books and records in the office for the first two years and in a readily accessible location for an additional three years for a total of not less than five years from the end of the applicable fiscal year. Certain records are kept for longer periods.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Periodic reviews are conducted to monitor the recordkeeping systems in place and determine that they are working as designed.</w:t>
      </w:r>
    </w:p>
    <w:p>
      <w:pPr>
        <w:pStyle w:val="ListParagraph"/>
        <w:numPr>
          <w:ilvl w:val="0"/>
          <w:numId w:val="1"/>
        </w:numPr>
        <w:spacing w:after="80" w:line="276" w:lineRule="auto"/>
      </w:pPr>
      <w:r>
        <w:rPr>
          <w:rFonts w:ascii="Arial" w:cs="Arial" w:eastAsia="Arial" w:hAnsi="Arial"/>
          <w:color w:val="1A1A1A"/>
          <w:sz w:val="24"/>
          <w:szCs w:val="24"/>
        </w:rPr>
        <w:t xml:space="preserve">Books and records are maintained so that staff can promptly produce legible, true, and complete copies.</w:t>
      </w:r>
    </w:p>
    <w:p>
      <w:pPr>
        <w:pStyle w:val="ListParagraph"/>
        <w:numPr>
          <w:ilvl w:val="0"/>
          <w:numId w:val="1"/>
        </w:numPr>
        <w:spacing w:after="80" w:line="276" w:lineRule="auto"/>
      </w:pPr>
      <w:r>
        <w:rPr>
          <w:rFonts w:ascii="Arial" w:cs="Arial" w:eastAsia="Arial" w:hAnsi="Arial"/>
          <w:color w:val="1A1A1A"/>
          <w:sz w:val="24"/>
          <w:szCs w:val="24"/>
        </w:rPr>
        <w:t xml:space="preserve">Our network files are backed up daily and stored on our OneDrive.</w:t>
      </w:r>
    </w:p>
    <w:p>
      <w:pPr>
        <w:pStyle w:val="ListParagraph"/>
        <w:numPr>
          <w:ilvl w:val="0"/>
          <w:numId w:val="1"/>
        </w:numPr>
        <w:spacing w:after="80" w:line="276" w:lineRule="auto"/>
      </w:pPr>
      <w:r>
        <w:rPr>
          <w:rFonts w:ascii="Arial" w:cs="Arial" w:eastAsia="Arial" w:hAnsi="Arial"/>
          <w:color w:val="1A1A1A"/>
          <w:sz w:val="24"/>
          <w:szCs w:val="24"/>
        </w:rPr>
        <w:t xml:space="preserve">Access to books and records is limited only to authorized persons with physical security to the office as well as password protection on the network.</w:t>
      </w:r>
    </w:p>
    <w:p>
      <w:pPr>
        <w:pStyle w:val="ListParagraph"/>
        <w:numPr>
          <w:ilvl w:val="0"/>
          <w:numId w:val="1"/>
        </w:numPr>
        <w:spacing w:after="80" w:line="276" w:lineRule="auto"/>
      </w:pPr>
      <w:r>
        <w:rPr>
          <w:rFonts w:ascii="Arial" w:cs="Arial" w:eastAsia="Arial" w:hAnsi="Arial"/>
          <w:color w:val="1A1A1A"/>
          <w:sz w:val="24"/>
          <w:szCs w:val="24"/>
        </w:rPr>
        <w:t xml:space="preserve">An email archive is used to capture and store all inbound and outbound emails. The archived email may not be modified or deleted and is reviewed on a periodic basis.</w:t>
      </w:r>
    </w:p>
    <w:p>
      <w:pPr>
        <w:pStyle w:val="ListParagraph"/>
        <w:numPr>
          <w:ilvl w:val="0"/>
          <w:numId w:val="1"/>
        </w:numPr>
        <w:spacing w:after="80" w:line="276" w:lineRule="auto"/>
      </w:pPr>
      <w:r>
        <w:rPr>
          <w:rFonts w:ascii="Arial" w:cs="Arial" w:eastAsia="Arial" w:hAnsi="Arial"/>
          <w:color w:val="1A1A1A"/>
          <w:sz w:val="24"/>
          <w:szCs w:val="24"/>
        </w:rPr>
        <w:t xml:space="preserve">The location(s) of our books and records are accurately disclosed on our Form ADV Part 1.</w:t>
      </w:r>
    </w:p>
    <w:p>
      <w:pPr>
        <w:pStyle w:val="ListParagraph"/>
        <w:numPr>
          <w:ilvl w:val="0"/>
          <w:numId w:val="1"/>
        </w:numPr>
        <w:spacing w:after="80" w:line="276" w:lineRule="auto"/>
      </w:pPr>
      <w:r>
        <w:rPr>
          <w:rFonts w:ascii="Arial" w:cs="Arial" w:eastAsia="Arial" w:hAnsi="Arial"/>
          <w:color w:val="1A1A1A"/>
          <w:sz w:val="24"/>
          <w:szCs w:val="24"/>
        </w:rPr>
        <w:t xml:space="preserve">Before ceasing to conduct or discontinuing business as an investment advisor, Advisor shall arrange for and be responsible for the preservation of the books and records required to be maintained and preserved for the remainder of the required retention period.</w:t>
      </w:r>
    </w:p>
    <w:p>
      <w:pPr>
        <w:pStyle w:val="ListParagraph"/>
        <w:numPr>
          <w:ilvl w:val="0"/>
          <w:numId w:val="1"/>
        </w:numPr>
        <w:spacing w:after="80" w:line="276" w:lineRule="auto"/>
      </w:pPr>
      <w:r>
        <w:rPr>
          <w:rFonts w:ascii="Arial" w:cs="Arial" w:eastAsia="Arial" w:hAnsi="Arial"/>
          <w:color w:val="1A1A1A"/>
          <w:sz w:val="24"/>
          <w:szCs w:val="24"/>
        </w:rPr>
        <w:t xml:space="preserve">The CCO is responsible for ensuring that books and records are promptly and accurately prepared and maintained, and is also responsible for conducting the periodic review to assess that the recordkeeping systems in place are working as designed.</w:t>
      </w:r>
    </w:p>
    <w:p>
      <w:pPr>
        <w:pStyle w:val="Heading2"/>
        <w:keepNext/>
        <w:keepLines/>
        <w:spacing w:after="100" w:before="200"/>
      </w:pPr>
      <w:r>
        <w:rPr>
          <w:rFonts w:ascii="Arial" w:cs="Arial" w:eastAsia="Arial" w:hAnsi="Arial"/>
          <w:b/>
          <w:bCs/>
          <w:color w:val="2E6B9E"/>
          <w:sz w:val="28"/>
          <w:szCs w:val="28"/>
        </w:rPr>
        <w:t xml:space="preserve">Maintenance of Electronic Records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The records required to be maintained and preserved may be maintained and preserved for the required time by an investment adviser on: (i) micrographic media, including microfilm, microfiche, or any similar medium; or (ii) electronic storage media.</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must arrange and index the records in a way that permits easy location, access, and retrieval of any particular record; provide promptly, if requested by a regulator, a legible, true, and complete copy of the record in the medium and format in which it is stored; and store separately from the original, one other copy of the film or computer storage medium for the time required.</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advisor shall have systems in place to ensure that all books and records maintained electronically can be retrieved immediately at any time upon request by a regulator.</w:t>
      </w:r>
    </w:p>
    <w:p>
      <w:pPr>
        <w:pStyle w:val="ListParagraph"/>
        <w:numPr>
          <w:ilvl w:val="0"/>
          <w:numId w:val="1"/>
        </w:numPr>
        <w:spacing w:after="80" w:line="276" w:lineRule="auto"/>
      </w:pPr>
      <w:r>
        <w:rPr>
          <w:rFonts w:ascii="Arial" w:cs="Arial" w:eastAsia="Arial" w:hAnsi="Arial"/>
          <w:color w:val="1A1A1A"/>
          <w:sz w:val="24"/>
          <w:szCs w:val="24"/>
        </w:rPr>
        <w:t xml:space="preserve">Supervised persons shall review this policy in conjunction with BWP’s Cybersecurity and Data Protection policy for policies related to the destruction of books and records and data backup.</w:t>
      </w:r>
    </w:p>
    <w:p>
      <w:pPr>
        <w:pStyle w:val="Heading2"/>
        <w:keepNext/>
        <w:keepLines/>
        <w:spacing w:after="100" w:before="200"/>
      </w:pPr>
      <w:r>
        <w:rPr>
          <w:rFonts w:ascii="Arial" w:cs="Arial" w:eastAsia="Arial" w:hAnsi="Arial"/>
          <w:b/>
          <w:bCs/>
          <w:color w:val="2E6B9E"/>
          <w:sz w:val="28"/>
          <w:szCs w:val="28"/>
        </w:rPr>
        <w:t xml:space="preserve">Client Contact Information (OAC 1301:6-3-15.1(E)(1)(q))</w:t>
      </w:r>
    </w:p>
    <w:p>
      <w:pPr>
        <w:spacing w:after="120" w:line="276" w:lineRule="auto"/>
      </w:pPr>
      <w:r>
        <w:rPr>
          <w:rFonts w:ascii="Arial" w:cs="Arial" w:eastAsia="Arial" w:hAnsi="Arial"/>
          <w:color w:val="1A1A1A"/>
          <w:sz w:val="24"/>
          <w:szCs w:val="24"/>
        </w:rPr>
        <w:t xml:space="preserve">BWP shall maintain a list of all current and former clients, including all contact information the adviser has for purposes of communicating with the client. This includes physical address, telephone number, and email address, if applicable. This list shall be retained for a minimum of five (5) years per OAC 1301:6-3-15.1(E).</w:t>
      </w:r>
    </w:p>
    <w:p>
      <w:pPr>
        <w:pStyle w:val="Heading2"/>
        <w:keepNext/>
        <w:keepLines/>
        <w:spacing w:after="100" w:before="200"/>
      </w:pPr>
      <w:r>
        <w:rPr>
          <w:rFonts w:ascii="Arial" w:cs="Arial" w:eastAsia="Arial" w:hAnsi="Arial"/>
          <w:b/>
          <w:bCs/>
          <w:color w:val="2E6B9E"/>
          <w:sz w:val="28"/>
          <w:szCs w:val="28"/>
        </w:rPr>
        <w:t xml:space="preserve">Client Recommendations (OAC 1301:6-3-15.1(E)(1)(t))</w:t>
      </w:r>
    </w:p>
    <w:p>
      <w:pPr>
        <w:spacing w:after="120" w:line="276" w:lineRule="auto"/>
      </w:pPr>
      <w:r>
        <w:rPr>
          <w:rFonts w:ascii="Arial" w:cs="Arial" w:eastAsia="Arial" w:hAnsi="Arial"/>
          <w:color w:val="1A1A1A"/>
          <w:sz w:val="24"/>
          <w:szCs w:val="24"/>
        </w:rPr>
        <w:t xml:space="preserve">BWP shall maintain written information about each investment advisory client and each security that forms the basis for making any recommendation or providing any investment advice to such client. See also: Portfolio Management section for documentation requirements applicable at the point of recommendation.</w:t>
      </w:r>
    </w:p>
    <w:p>
      <w:pPr>
        <w:pStyle w:val="Heading1"/>
        <w:keepNext/>
        <w:keepLines/>
        <w:spacing w:after="120" w:before="240"/>
      </w:pPr>
      <w:r>
        <w:rPr>
          <w:rFonts w:ascii="Arial" w:cs="Arial" w:eastAsia="Arial" w:hAnsi="Arial"/>
          <w:b/>
          <w:bCs/>
          <w:color w:val="1B3A5C"/>
          <w:sz w:val="32"/>
          <w:szCs w:val="32"/>
        </w:rPr>
        <w:t xml:space="preserve">Business Continuity / Disaster Recovery</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Investment Advisers are required to have a Business Continuity Plan in place in order to minimize the impact of a disaster to the firm, its supervised persons, vendors, and clients.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We maintain a written Business Continuity Plan ("BCP") that seeks to minimize the impact of business disruptions. This plan is tested on an annual basis and the results of the testing are documented. The plan is updated to reflect any changes to the plan or BWP.</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CCO is responsible for developing, testing, and maintaining written procedures to launch a timely recovery from various forms of disaster. The CCO is responsible for annual testing and for ensuring any changes are communicated throughout the firm.</w:t>
      </w:r>
    </w:p>
    <w:p>
      <w:pPr>
        <w:pStyle w:val="ListParagraph"/>
        <w:numPr>
          <w:ilvl w:val="0"/>
          <w:numId w:val="1"/>
        </w:numPr>
        <w:spacing w:after="80" w:line="276" w:lineRule="auto"/>
      </w:pPr>
      <w:r>
        <w:rPr>
          <w:rFonts w:ascii="Arial" w:cs="Arial" w:eastAsia="Arial" w:hAnsi="Arial"/>
          <w:color w:val="1A1A1A"/>
          <w:sz w:val="24"/>
          <w:szCs w:val="24"/>
        </w:rPr>
        <w:t xml:space="preserve">The BCP is maintained as a separate policy and procedure document and will be accessible at all times alongside this policy and procedure manual.</w:t>
      </w:r>
    </w:p>
    <w:p>
      <w:pPr>
        <w:pStyle w:val="Heading1"/>
        <w:keepNext/>
        <w:keepLines/>
        <w:spacing w:after="120" w:before="240"/>
      </w:pPr>
      <w:r>
        <w:rPr>
          <w:rFonts w:ascii="Arial" w:cs="Arial" w:eastAsia="Arial" w:hAnsi="Arial"/>
          <w:b/>
          <w:bCs/>
          <w:color w:val="1B3A5C"/>
          <w:sz w:val="32"/>
          <w:szCs w:val="32"/>
        </w:rPr>
        <w:t xml:space="preserve">Cybersecurity and Data Protection</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Federal and state regulators recommend investment advisors to establish, implement, update, and enforce written physical security and cybersecurity policies and procedures reasonably designed to ensure the confidentiality, integrity, and availability of physical and electronic records and information. The policies and procedures shall be tailored to the investment advisor’s business model, taking into account the size of the firm, type of services provided, and the number of locations of the investment advisor.</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We maintain a written Cybersecurity and Data Protection Policy that covers: (i) the organizational understanding to manage information security risk to systems, assets, data, and capabilities; (ii) the appropriate safeguards to ensure delivery of critical infrastructure services; (iii) the appropriate activities to identify the occurrence of an information security event; (iv) the appropriate activities to take action regarding a detected information security event; and (v) the appropriate activities to maintain plans for resilience and to restore any capabilities or services that were impaired due to an information security event.</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CCO is responsible for developing, testing, and maintaining written procedures to ensure that the Advisor safeguards confidential client records and information. The CCO is also responsible for ensuring adherence to those procedures.</w:t>
      </w:r>
    </w:p>
    <w:p>
      <w:pPr>
        <w:pStyle w:val="ListParagraph"/>
        <w:numPr>
          <w:ilvl w:val="0"/>
          <w:numId w:val="1"/>
        </w:numPr>
        <w:spacing w:after="80" w:line="276" w:lineRule="auto"/>
      </w:pPr>
      <w:r>
        <w:rPr>
          <w:rFonts w:ascii="Arial" w:cs="Arial" w:eastAsia="Arial" w:hAnsi="Arial"/>
          <w:color w:val="1A1A1A"/>
          <w:sz w:val="24"/>
          <w:szCs w:val="24"/>
        </w:rPr>
        <w:t xml:space="preserve">The Cybersecurity and Data Protection Policy is maintained as a separate policy and procedure document and will be accessible at all times alongside this policy and procedure manual.</w:t>
      </w:r>
    </w:p>
    <w:p>
      <w:pPr>
        <w:pStyle w:val="Heading1"/>
        <w:keepNext/>
        <w:keepLines/>
        <w:spacing w:after="120" w:before="240"/>
      </w:pPr>
      <w:r>
        <w:rPr>
          <w:rFonts w:ascii="Arial" w:cs="Arial" w:eastAsia="Arial" w:hAnsi="Arial"/>
          <w:b/>
          <w:bCs/>
          <w:color w:val="1B3A5C"/>
          <w:sz w:val="32"/>
          <w:szCs w:val="32"/>
        </w:rPr>
        <w:t xml:space="preserve">Code of Ethics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Federal and state regulators require registered investment advisers to adopt codes of ethics. The code of ethics shall set forth standards of conduct and require compliance with federal securities laws. Codes of ethics must also address personal trading: they must require advisers’ access persons to report their personal securities holdings and transactions and must require personnel to obtain pre-approval of certain investments.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We maintain a written Code of Ethics that covers: Standards of Conduct; Protection of Material Nonpublic Information; Personal Securities Trading; Initial Public Offerings and Private Placements; Reporting Violations; Educating Employees about the Code of Ethics; and Advisor Review and Enforcement.</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Each Supervised Person of the Firm shall read, understand, and adhere to the Firm’s Code of Ethics, which will be provided to the Supervised Person within 10 days of hire. Supervised Persons are required to comply with the Code of Ethics during the duration of their employment with the Firm.</w:t>
      </w:r>
    </w:p>
    <w:p>
      <w:pPr>
        <w:pStyle w:val="ListParagraph"/>
        <w:numPr>
          <w:ilvl w:val="0"/>
          <w:numId w:val="1"/>
        </w:numPr>
        <w:spacing w:after="80" w:line="276" w:lineRule="auto"/>
      </w:pPr>
      <w:r>
        <w:rPr>
          <w:rFonts w:ascii="Arial" w:cs="Arial" w:eastAsia="Arial" w:hAnsi="Arial"/>
          <w:color w:val="1A1A1A"/>
          <w:sz w:val="24"/>
          <w:szCs w:val="24"/>
        </w:rPr>
        <w:t xml:space="preserve">A summary of the Code of Ethics shall be disclosed in our Form ADV Part 2A.</w:t>
      </w:r>
    </w:p>
    <w:p>
      <w:pPr>
        <w:pStyle w:val="ListParagraph"/>
        <w:numPr>
          <w:ilvl w:val="0"/>
          <w:numId w:val="1"/>
        </w:numPr>
        <w:spacing w:after="80" w:line="276" w:lineRule="auto"/>
      </w:pPr>
      <w:r>
        <w:rPr>
          <w:rFonts w:ascii="Arial" w:cs="Arial" w:eastAsia="Arial" w:hAnsi="Arial"/>
          <w:color w:val="1A1A1A"/>
          <w:sz w:val="24"/>
          <w:szCs w:val="24"/>
        </w:rPr>
        <w:t xml:space="preserve">BWP shall provide a copy of Advisor’s Code of Ethics to any client or prospective client upon request.</w:t>
      </w:r>
    </w:p>
    <w:p>
      <w:pPr>
        <w:pStyle w:val="ListParagraph"/>
        <w:numPr>
          <w:ilvl w:val="0"/>
          <w:numId w:val="1"/>
        </w:numPr>
        <w:spacing w:after="80" w:line="276" w:lineRule="auto"/>
      </w:pPr>
      <w:r>
        <w:rPr>
          <w:rFonts w:ascii="Arial" w:cs="Arial" w:eastAsia="Arial" w:hAnsi="Arial"/>
          <w:color w:val="1A1A1A"/>
          <w:sz w:val="24"/>
          <w:szCs w:val="24"/>
        </w:rPr>
        <w:t xml:space="preserve">The Code of Ethics is maintained as a separate policy and procedure document and will be accessible at all times alongside this policy and procedure manual.</w:t>
      </w:r>
    </w:p>
    <w:p>
      <w:pPr>
        <w:pStyle w:val="Heading2"/>
        <w:keepNext/>
        <w:keepLines/>
        <w:spacing w:after="100" w:before="200"/>
      </w:pPr>
      <w:r>
        <w:rPr>
          <w:rFonts w:ascii="Arial" w:cs="Arial" w:eastAsia="Arial" w:hAnsi="Arial"/>
          <w:b/>
          <w:bCs/>
          <w:color w:val="2E6B9E"/>
          <w:sz w:val="28"/>
          <w:szCs w:val="28"/>
        </w:rPr>
        <w:t xml:space="preserve">Personal Securities Reporting Requirements</w:t>
      </w:r>
    </w:p>
    <w:p>
      <w:pPr>
        <w:spacing w:after="120" w:line="276" w:lineRule="auto"/>
      </w:pPr>
      <w:r>
        <w:rPr>
          <w:rFonts w:ascii="Arial" w:cs="Arial" w:eastAsia="Arial" w:hAnsi="Arial"/>
          <w:color w:val="1A1A1A"/>
          <w:sz w:val="24"/>
          <w:szCs w:val="24"/>
        </w:rPr>
        <w:t xml:space="preserve">Access persons must comply with the following reporting requirements as specified in the Code of Ethics policy document:</w:t>
      </w:r>
    </w:p>
    <w:p>
      <w:pPr>
        <w:pStyle w:val="ListParagraph"/>
        <w:numPr>
          <w:ilvl w:val="0"/>
          <w:numId w:val="1"/>
        </w:numPr>
        <w:spacing w:after="80" w:line="276" w:lineRule="auto"/>
      </w:pPr>
      <w:r>
        <w:rPr>
          <w:rFonts w:ascii="Arial" w:cs="Arial" w:eastAsia="Arial" w:hAnsi="Arial"/>
          <w:color w:val="1A1A1A"/>
          <w:sz w:val="24"/>
          <w:szCs w:val="24"/>
        </w:rPr>
        <w:t xml:space="preserve">Quarterly Transaction Reports: Access persons must submit quarterly personal securities transaction reports within thirty (30) days of each calendar quarter-end (i.e., by January 30, April 30, July 30, and October 30).</w:t>
      </w:r>
    </w:p>
    <w:p>
      <w:pPr>
        <w:pStyle w:val="ListParagraph"/>
        <w:numPr>
          <w:ilvl w:val="0"/>
          <w:numId w:val="1"/>
        </w:numPr>
        <w:spacing w:after="80" w:line="276" w:lineRule="auto"/>
      </w:pPr>
      <w:r>
        <w:rPr>
          <w:rFonts w:ascii="Arial" w:cs="Arial" w:eastAsia="Arial" w:hAnsi="Arial"/>
          <w:color w:val="1A1A1A"/>
          <w:sz w:val="24"/>
          <w:szCs w:val="24"/>
        </w:rPr>
        <w:t xml:space="preserve">Annual Holdings Reports: Access persons must submit annual holdings reports reflecting holdings as of December 31, due by February 14 of the following year.</w:t>
      </w:r>
    </w:p>
    <w:p>
      <w:pPr>
        <w:pStyle w:val="ListParagraph"/>
        <w:numPr>
          <w:ilvl w:val="0"/>
          <w:numId w:val="1"/>
        </w:numPr>
        <w:spacing w:after="80" w:line="276" w:lineRule="auto"/>
      </w:pPr>
      <w:r>
        <w:rPr>
          <w:rFonts w:ascii="Arial" w:cs="Arial" w:eastAsia="Arial" w:hAnsi="Arial"/>
          <w:color w:val="1A1A1A"/>
          <w:sz w:val="24"/>
          <w:szCs w:val="24"/>
        </w:rPr>
        <w:t xml:space="preserve">Pre-Clearance: Pre-clearance is required before any investment in an initial public offering (IPO) or limited offering.</w:t>
      </w:r>
    </w:p>
    <w:p>
      <w:pPr>
        <w:pStyle w:val="ListParagraph"/>
        <w:numPr>
          <w:ilvl w:val="0"/>
          <w:numId w:val="1"/>
        </w:numPr>
        <w:spacing w:after="80" w:line="276" w:lineRule="auto"/>
      </w:pPr>
      <w:r>
        <w:rPr>
          <w:rFonts w:ascii="Arial" w:cs="Arial" w:eastAsia="Arial" w:hAnsi="Arial"/>
          <w:color w:val="1A1A1A"/>
          <w:sz w:val="24"/>
          <w:szCs w:val="24"/>
        </w:rPr>
        <w:t xml:space="preserve">Refer to the Code of Ethics policy document for complete requirements, reporting forms, and procedures.</w:t>
      </w:r>
    </w:p>
    <w:p>
      <w:pPr>
        <w:pStyle w:val="Heading2"/>
        <w:keepNext/>
        <w:keepLines/>
        <w:spacing w:after="100" w:before="200"/>
      </w:pPr>
      <w:r>
        <w:rPr>
          <w:rFonts w:ascii="Arial" w:cs="Arial" w:eastAsia="Arial" w:hAnsi="Arial"/>
          <w:b/>
          <w:bCs/>
          <w:color w:val="2E6B9E"/>
          <w:sz w:val="28"/>
          <w:szCs w:val="28"/>
        </w:rPr>
        <w:t xml:space="preserve">Borrowing from Clients (OAC 1301:6-3-44(E)(f)(iv))</w:t>
      </w:r>
    </w:p>
    <w:p>
      <w:pPr>
        <w:spacing w:after="120" w:line="276" w:lineRule="auto"/>
      </w:pPr>
      <w:r>
        <w:rPr>
          <w:rFonts w:ascii="Arial" w:cs="Arial" w:eastAsia="Arial" w:hAnsi="Arial"/>
          <w:color w:val="1A1A1A"/>
          <w:sz w:val="24"/>
          <w:szCs w:val="24"/>
        </w:rPr>
        <w:t xml:space="preserve">BWP and its supervised persons shall not borrow money or securities from a client, unless the client is a broker-dealer, an affiliate of the adviser, or a financial institution engaged in the business of loaning funds.</w:t>
      </w:r>
    </w:p>
    <w:p>
      <w:pPr>
        <w:pStyle w:val="Heading2"/>
        <w:keepNext/>
        <w:keepLines/>
        <w:spacing w:after="100" w:before="200"/>
      </w:pPr>
      <w:r>
        <w:rPr>
          <w:rFonts w:ascii="Arial" w:cs="Arial" w:eastAsia="Arial" w:hAnsi="Arial"/>
          <w:b/>
          <w:bCs/>
          <w:color w:val="2E6B9E"/>
          <w:sz w:val="28"/>
          <w:szCs w:val="28"/>
        </w:rPr>
        <w:t xml:space="preserve">Loaning to Clients (OAC 1301:6-3-44(E)(f)(v))</w:t>
      </w:r>
    </w:p>
    <w:p>
      <w:pPr>
        <w:spacing w:after="120" w:line="276" w:lineRule="auto"/>
      </w:pPr>
      <w:r>
        <w:rPr>
          <w:rFonts w:ascii="Arial" w:cs="Arial" w:eastAsia="Arial" w:hAnsi="Arial"/>
          <w:color w:val="1A1A1A"/>
          <w:sz w:val="24"/>
          <w:szCs w:val="24"/>
        </w:rPr>
        <w:t xml:space="preserve">BWP and its supervised persons shall not loan money to a client, unless the adviser is a financial institution engaged in the business of loaning funds, or the client is an affiliate of the adviser.</w:t>
      </w:r>
    </w:p>
    <w:p>
      <w:pPr>
        <w:pStyle w:val="Heading1"/>
        <w:keepNext/>
        <w:keepLines/>
        <w:spacing w:after="120" w:before="240"/>
      </w:pPr>
      <w:r>
        <w:rPr>
          <w:rFonts w:ascii="Arial" w:cs="Arial" w:eastAsia="Arial" w:hAnsi="Arial"/>
          <w:b/>
          <w:bCs/>
          <w:color w:val="1B3A5C"/>
          <w:sz w:val="32"/>
          <w:szCs w:val="32"/>
        </w:rPr>
        <w:t xml:space="preserve">Custody</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Generally, an adviser is deemed to have custody of client assets when it holds "directly or indirectly, client funds or securities or has any authority to obtain possession of them." An investment adviser who itself or whose related person(s) have custody of Client assets is subject to extensive regulation, disclosure, and reporting requirements pursuant to Federal and State securities laws and regulations.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Unless otherwise referenced in the below procedures, BWP does not maintain custody of client funds or securities. Specific procedures have been created for the common situations where the issue of custody may arise.</w:t>
      </w:r>
    </w:p>
    <w:p>
      <w:pPr>
        <w:pStyle w:val="Heading3"/>
        <w:keepNext/>
        <w:keepLines/>
        <w:spacing w:after="80" w:before="160"/>
      </w:pPr>
      <w:r>
        <w:rPr>
          <w:rFonts w:ascii="Arial" w:cs="Arial" w:eastAsia="Arial" w:hAnsi="Arial"/>
          <w:b/>
          <w:bCs/>
          <w:color w:val="1A1A1A"/>
          <w:sz w:val="24"/>
          <w:szCs w:val="24"/>
        </w:rPr>
        <w:t xml:space="preserve">Procedures</w:t>
      </w:r>
    </w:p>
    <w:p>
      <w:pPr>
        <w:spacing w:after="120" w:line="276" w:lineRule="auto"/>
      </w:pPr>
      <w:r>
        <w:rPr>
          <w:rFonts w:ascii="Arial" w:cs="Arial" w:eastAsia="Arial" w:hAnsi="Arial"/>
          <w:color w:val="1A1A1A"/>
          <w:sz w:val="24"/>
          <w:szCs w:val="24"/>
        </w:rPr>
        <w:t xml:space="preserve">Deduction of Advisory Fees from Client Accounts: BWP’s fees are normally debited directly from the client’s managed account(s) held at a qualified custodian. In all such cases, the client must provide written authorization permitting the advisory fees to be paid directly from their account. Further, the qualified custodian must agree to deliver a quarterly account statement directly to the client, and never through BWP. BWP will have access to a duplicate copy of the statement that was delivered to the client. In jurisdictions where required, BWP will send an itemized invoice to the Client at the same time it instructs the custodian to debit the advisory fee.</w:t>
      </w:r>
    </w:p>
    <w:p>
      <w:pPr>
        <w:spacing w:after="120" w:line="276" w:lineRule="auto"/>
      </w:pPr>
      <w:r>
        <w:rPr>
          <w:rFonts w:ascii="Arial" w:cs="Arial" w:eastAsia="Arial" w:hAnsi="Arial"/>
          <w:color w:val="1A1A1A"/>
          <w:sz w:val="24"/>
          <w:szCs w:val="24"/>
        </w:rPr>
        <w:t xml:space="preserve">Inadvertent Receipt of Funds or Securities: It is BWP’s policy to return the client’s funds or securities to the sender without assuming custody. If BWP inadvertently receives client funds or securities, BWP will: (a) make a photocopy of the check or securities and place it in the client’s file; (b) return the funds/securities to the sender by US Mail, registered, return receipt requested or by courier within three business days of receipt; and (c) keep a copy of the cover letter, a copy of the check, and correspondence.</w:t>
      </w:r>
    </w:p>
    <w:p>
      <w:pPr>
        <w:spacing w:after="120" w:line="276" w:lineRule="auto"/>
      </w:pPr>
      <w:r>
        <w:rPr>
          <w:rFonts w:ascii="Arial" w:cs="Arial" w:eastAsia="Arial" w:hAnsi="Arial"/>
          <w:color w:val="1A1A1A"/>
          <w:sz w:val="24"/>
          <w:szCs w:val="24"/>
        </w:rPr>
        <w:t xml:space="preserve">Receipt of Third-Party Funds: If BWP receives a check from a client payable to a third party (i.e., the custodian), BWP will forward the check directly to the third party and maintain a photocopy of the check and correspondence in its files. A notation of the receipt will be made in a Checks Received and Forwarded Log.</w:t>
      </w:r>
    </w:p>
    <w:p>
      <w:pPr>
        <w:spacing w:after="120" w:line="276" w:lineRule="auto"/>
      </w:pPr>
      <w:r>
        <w:rPr>
          <w:rFonts w:ascii="Arial" w:cs="Arial" w:eastAsia="Arial" w:hAnsi="Arial"/>
          <w:color w:val="1A1A1A"/>
          <w:sz w:val="24"/>
          <w:szCs w:val="24"/>
        </w:rPr>
        <w:t xml:space="preserve">Account Statements: The client’s qualified custodian sends account statements on at least a quarterly basis indicating all amounts disbursed from client account(s).</w:t>
      </w:r>
    </w:p>
    <w:p>
      <w:pPr>
        <w:spacing w:after="120" w:line="276" w:lineRule="auto"/>
      </w:pPr>
      <w:r>
        <w:rPr>
          <w:rFonts w:ascii="Arial" w:cs="Arial" w:eastAsia="Arial" w:hAnsi="Arial"/>
          <w:color w:val="1A1A1A"/>
          <w:sz w:val="24"/>
          <w:szCs w:val="24"/>
        </w:rPr>
        <w:t xml:space="preserve">Control Relationships of Clients: Generally, supervised persons of BWP are not allowed to maintain a "control relationship" with clients of BWP (e.g., serving as trustee on a client’s trust, executor to a client’s estate, or on the board of a non-profit that is an advisory client), except when the relationship is due to a familial or pre-existing personal relationship. Any exceptions must be documented in writing.</w:t>
      </w:r>
    </w:p>
    <w:p>
      <w:pPr>
        <w:spacing w:after="120" w:line="276" w:lineRule="auto"/>
      </w:pPr>
      <w:r>
        <w:rPr>
          <w:rFonts w:ascii="Arial" w:cs="Arial" w:eastAsia="Arial" w:hAnsi="Arial"/>
          <w:color w:val="1A1A1A"/>
          <w:sz w:val="24"/>
          <w:szCs w:val="24"/>
        </w:rPr>
        <w:t xml:space="preserve">Login Credentials: Advisor is prohibited from accessing a client’s account by using the client’s own unique identifying information (such as username and password).</w:t>
      </w:r>
    </w:p>
    <w:p>
      <w:pPr>
        <w:spacing w:after="120" w:line="276" w:lineRule="auto"/>
      </w:pPr>
      <w:r>
        <w:rPr>
          <w:rFonts w:ascii="Arial" w:cs="Arial" w:eastAsia="Arial" w:hAnsi="Arial"/>
          <w:color w:val="1A1A1A"/>
          <w:sz w:val="24"/>
          <w:szCs w:val="24"/>
        </w:rPr>
        <w:t xml:space="preserve">Advance Fee Billing: BWP will not bill an amount above $500 more than 6 months or more in advance of rendering the services.</w:t>
      </w:r>
    </w:p>
    <w:p>
      <w:pPr>
        <w:spacing w:after="120" w:line="276" w:lineRule="auto"/>
      </w:pPr>
      <w:r>
        <w:rPr>
          <w:rFonts w:ascii="Arial" w:cs="Arial" w:eastAsia="Arial" w:hAnsi="Arial"/>
          <w:color w:val="1A1A1A"/>
          <w:sz w:val="24"/>
          <w:szCs w:val="24"/>
        </w:rPr>
        <w:t xml:space="preserve">Standing Letters of Authorization (SLOAs): BWP can establish SLOAs with qualified custodians where the funds or securities are being sent to via a first-party transfer. For third-party SLOA authorization, BWP will adhere to the 7 safeguards outlined in the SEC’s no action letter to the Investment Adviser Association dated February 21, 2017, and will disclose this on BWP’s Form ADV Part 2A, Item 15 and Form ADV Part 1A, Item 9.</w:t>
      </w:r>
    </w:p>
    <w:p>
      <w:pPr>
        <w:spacing w:after="120" w:line="276" w:lineRule="auto"/>
      </w:pPr>
      <w:r>
        <w:rPr>
          <w:rFonts w:ascii="Arial" w:cs="Arial" w:eastAsia="Arial" w:hAnsi="Arial"/>
          <w:color w:val="1A1A1A"/>
          <w:sz w:val="24"/>
          <w:szCs w:val="24"/>
        </w:rPr>
        <w:t xml:space="preserve">Advisor Acts as a General Partner: The Advisor shall not serve as the general partner of a limited partnership or holds a comparable position for a different type of pooled investment vehicle.</w:t>
      </w:r>
    </w:p>
    <w:p>
      <w:pPr>
        <w:spacing w:after="120" w:line="276" w:lineRule="auto"/>
      </w:pPr>
      <w:r>
        <w:rPr>
          <w:rFonts w:ascii="Arial" w:cs="Arial" w:eastAsia="Arial" w:hAnsi="Arial"/>
          <w:color w:val="1A1A1A"/>
          <w:sz w:val="24"/>
          <w:szCs w:val="24"/>
        </w:rPr>
        <w:t xml:space="preserve">Check-Writing Authority: The Advisor or a related person shall not have signatory or check writing authority for client accounts.</w:t>
      </w:r>
    </w:p>
    <w:p>
      <w:pPr>
        <w:pStyle w:val="Heading2"/>
        <w:keepNext/>
        <w:keepLines/>
        <w:spacing w:after="100" w:before="200"/>
      </w:pPr>
      <w:r>
        <w:rPr>
          <w:rFonts w:ascii="Arial" w:cs="Arial" w:eastAsia="Arial" w:hAnsi="Arial"/>
          <w:b/>
          <w:bCs/>
          <w:color w:val="2E6B9E"/>
          <w:sz w:val="28"/>
          <w:szCs w:val="28"/>
        </w:rPr>
        <w:t xml:space="preserve">Custodian Insurance Requirement (Altruist Financial, LLC)</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Altruist Financial, LLC (CRD# 299274), BWP’s primary qualified custodian, requires advisory firms to maintain errors and omissions, cybersecurity, and social engineering insurance coverage as a condition of the custodial relationship.</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must maintain errors and omissions (E&amp;O), cybersecurity, and social engineering insurance coverage in a combined minimum amount of $1,000,000 as required by Altruist Financial, LLC. BWP shall submit a current Certificate of Insurance (COI) to Altruist Financial, LLC no later than December 31 of each year.</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CCO is responsible for coordinating insurance renewal and ensuring the COI is submitted to Altruist Financial, LLC by December 31 each year.</w:t>
      </w:r>
    </w:p>
    <w:p>
      <w:pPr>
        <w:pStyle w:val="ListParagraph"/>
        <w:numPr>
          <w:ilvl w:val="0"/>
          <w:numId w:val="1"/>
        </w:numPr>
        <w:spacing w:after="80" w:line="276" w:lineRule="auto"/>
      </w:pPr>
      <w:r>
        <w:rPr>
          <w:rFonts w:ascii="Arial" w:cs="Arial" w:eastAsia="Arial" w:hAnsi="Arial"/>
          <w:color w:val="1A1A1A"/>
          <w:sz w:val="24"/>
          <w:szCs w:val="24"/>
        </w:rPr>
        <w:t xml:space="preserve">The CCO shall maintain copies of each COI and insurance policy for the required retention period.</w:t>
      </w:r>
    </w:p>
    <w:p>
      <w:pPr>
        <w:pStyle w:val="ListParagraph"/>
        <w:numPr>
          <w:ilvl w:val="0"/>
          <w:numId w:val="1"/>
        </w:numPr>
        <w:spacing w:after="80" w:line="276" w:lineRule="auto"/>
      </w:pPr>
      <w:r>
        <w:rPr>
          <w:rFonts w:ascii="Arial" w:cs="Arial" w:eastAsia="Arial" w:hAnsi="Arial"/>
          <w:color w:val="1A1A1A"/>
          <w:sz w:val="24"/>
          <w:szCs w:val="24"/>
        </w:rPr>
        <w:t xml:space="preserve">If the insurance coverage lapses or falls below the required minimum, the CCO shall immediately arrange for reinstatement of coverage.</w:t>
      </w:r>
    </w:p>
    <w:p>
      <w:pPr>
        <w:pStyle w:val="ListParagraph"/>
        <w:numPr>
          <w:ilvl w:val="0"/>
          <w:numId w:val="1"/>
        </w:numPr>
        <w:spacing w:after="80" w:line="276" w:lineRule="auto"/>
      </w:pPr>
      <w:r>
        <w:rPr>
          <w:rFonts w:ascii="Arial" w:cs="Arial" w:eastAsia="Arial" w:hAnsi="Arial"/>
          <w:color w:val="1A1A1A"/>
          <w:sz w:val="24"/>
          <w:szCs w:val="24"/>
        </w:rPr>
        <w:t xml:space="preserve">Reporting: Individual supervised persons are responsible for notifying the CCO and acting in accordance with the policies set forth above in the event of receipt of funds, securities, or third-party funds.</w:t>
      </w:r>
    </w:p>
    <w:p>
      <w:pPr>
        <w:pStyle w:val="Heading1"/>
        <w:keepNext/>
        <w:keepLines/>
        <w:spacing w:after="120" w:before="240"/>
      </w:pPr>
      <w:r>
        <w:rPr>
          <w:rFonts w:ascii="Arial" w:cs="Arial" w:eastAsia="Arial" w:hAnsi="Arial"/>
          <w:b/>
          <w:bCs/>
          <w:color w:val="1B3A5C"/>
          <w:sz w:val="32"/>
          <w:szCs w:val="32"/>
        </w:rPr>
        <w:t xml:space="preserve">Communications</w:t>
      </w:r>
    </w:p>
    <w:p>
      <w:pPr>
        <w:pStyle w:val="Heading2"/>
        <w:keepNext/>
        <w:keepLines/>
        <w:spacing w:after="100" w:before="200"/>
      </w:pPr>
      <w:r>
        <w:rPr>
          <w:rFonts w:ascii="Arial" w:cs="Arial" w:eastAsia="Arial" w:hAnsi="Arial"/>
          <w:b/>
          <w:bCs/>
          <w:color w:val="2E6B9E"/>
          <w:sz w:val="28"/>
          <w:szCs w:val="28"/>
        </w:rPr>
        <w:t xml:space="preserve">Physical Correspondence</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Communication with clients or prospective clients, whether it occurs by electronic or non-electronic means, are classified as either an advertisement or correspondence and must adhere to appropriate rules and regulations.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Our policies on correspondence overlap with more specific policies on advertising. These policies are additive and should be read in conjunction with each other in appropriate circumstances.</w:t>
      </w:r>
    </w:p>
    <w:p>
      <w:pPr>
        <w:pStyle w:val="Heading3"/>
        <w:keepNext/>
        <w:keepLines/>
        <w:spacing w:after="80" w:before="160"/>
      </w:pPr>
      <w:r>
        <w:rPr>
          <w:rFonts w:ascii="Arial" w:cs="Arial" w:eastAsia="Arial" w:hAnsi="Arial"/>
          <w:b/>
          <w:bCs/>
          <w:color w:val="1A1A1A"/>
          <w:sz w:val="24"/>
          <w:szCs w:val="24"/>
        </w:rPr>
        <w:t xml:space="preserve">Outgoing</w:t>
      </w:r>
    </w:p>
    <w:p>
      <w:pPr>
        <w:pStyle w:val="ListParagraph"/>
        <w:numPr>
          <w:ilvl w:val="0"/>
          <w:numId w:val="1"/>
        </w:numPr>
        <w:spacing w:after="80" w:line="276" w:lineRule="auto"/>
      </w:pPr>
      <w:r>
        <w:rPr>
          <w:rFonts w:ascii="Arial" w:cs="Arial" w:eastAsia="Arial" w:hAnsi="Arial"/>
          <w:color w:val="1A1A1A"/>
          <w:sz w:val="24"/>
          <w:szCs w:val="24"/>
        </w:rPr>
        <w:t xml:space="preserve">Use of BWP’s letterhead and other official stationery is limited to business-related matters.</w:t>
      </w:r>
    </w:p>
    <w:p>
      <w:pPr>
        <w:pStyle w:val="ListParagraph"/>
        <w:numPr>
          <w:ilvl w:val="0"/>
          <w:numId w:val="1"/>
        </w:numPr>
        <w:spacing w:after="80" w:line="276" w:lineRule="auto"/>
      </w:pPr>
      <w:r>
        <w:rPr>
          <w:rFonts w:ascii="Arial" w:cs="Arial" w:eastAsia="Arial" w:hAnsi="Arial"/>
          <w:color w:val="1A1A1A"/>
          <w:sz w:val="24"/>
          <w:szCs w:val="24"/>
        </w:rPr>
        <w:t xml:space="preserve">No material marked "For Internal Use" or something to this effect may be sent to anyone outside of the firm.</w:t>
      </w:r>
    </w:p>
    <w:p>
      <w:pPr>
        <w:pStyle w:val="ListParagraph"/>
        <w:numPr>
          <w:ilvl w:val="0"/>
          <w:numId w:val="1"/>
        </w:numPr>
        <w:spacing w:after="80" w:line="276" w:lineRule="auto"/>
      </w:pPr>
      <w:r>
        <w:rPr>
          <w:rFonts w:ascii="Arial" w:cs="Arial" w:eastAsia="Arial" w:hAnsi="Arial"/>
          <w:color w:val="1A1A1A"/>
          <w:sz w:val="24"/>
          <w:szCs w:val="24"/>
        </w:rPr>
        <w:t xml:space="preserve">All physical correspondence to clients is to be retained in the appropriate client file.</w:t>
      </w:r>
    </w:p>
    <w:p>
      <w:pPr>
        <w:pStyle w:val="ListParagraph"/>
        <w:numPr>
          <w:ilvl w:val="0"/>
          <w:numId w:val="1"/>
        </w:numPr>
        <w:spacing w:after="80" w:line="276" w:lineRule="auto"/>
      </w:pPr>
      <w:r>
        <w:rPr>
          <w:rFonts w:ascii="Arial" w:cs="Arial" w:eastAsia="Arial" w:hAnsi="Arial"/>
          <w:color w:val="1A1A1A"/>
          <w:sz w:val="24"/>
          <w:szCs w:val="24"/>
        </w:rPr>
        <w:t xml:space="preserve">Use of third-party prepared correspondence must be approved by the CCO prior to use.</w:t>
      </w:r>
    </w:p>
    <w:p>
      <w:pPr>
        <w:pStyle w:val="ListParagraph"/>
        <w:numPr>
          <w:ilvl w:val="0"/>
          <w:numId w:val="1"/>
        </w:numPr>
        <w:spacing w:after="80" w:line="276" w:lineRule="auto"/>
      </w:pPr>
      <w:r>
        <w:rPr>
          <w:rFonts w:ascii="Arial" w:cs="Arial" w:eastAsia="Arial" w:hAnsi="Arial"/>
          <w:color w:val="1A1A1A"/>
          <w:sz w:val="24"/>
          <w:szCs w:val="24"/>
        </w:rPr>
        <w:t xml:space="preserve">The CCO shall spot check a random sampling of outgoing correspondence sent by supervised persons to verify the correspondence does not violate rules or regulations.</w:t>
      </w:r>
    </w:p>
    <w:p>
      <w:pPr>
        <w:pStyle w:val="Heading3"/>
        <w:keepNext/>
        <w:keepLines/>
        <w:spacing w:after="80" w:before="160"/>
      </w:pPr>
      <w:r>
        <w:rPr>
          <w:rFonts w:ascii="Arial" w:cs="Arial" w:eastAsia="Arial" w:hAnsi="Arial"/>
          <w:b/>
          <w:bCs/>
          <w:color w:val="1A1A1A"/>
          <w:sz w:val="24"/>
          <w:szCs w:val="24"/>
        </w:rPr>
        <w:t xml:space="preserve">Incoming</w:t>
      </w:r>
    </w:p>
    <w:p>
      <w:pPr>
        <w:pStyle w:val="ListParagraph"/>
        <w:numPr>
          <w:ilvl w:val="0"/>
          <w:numId w:val="1"/>
        </w:numPr>
        <w:spacing w:after="80" w:line="276" w:lineRule="auto"/>
      </w:pPr>
      <w:r>
        <w:rPr>
          <w:rFonts w:ascii="Arial" w:cs="Arial" w:eastAsia="Arial" w:hAnsi="Arial"/>
          <w:color w:val="1A1A1A"/>
          <w:sz w:val="24"/>
          <w:szCs w:val="24"/>
        </w:rPr>
        <w:t xml:space="preserve">All incoming correspondence may be opened and reviewed by a designated reviewer appointed by the CCO or supervisor. Correspondence that is subject to this policy includes letters, facsimiles, courier deliveries and other forms of communication, including communications marked "personal," "confidential," or words to this effect.</w:t>
      </w:r>
    </w:p>
    <w:p>
      <w:pPr>
        <w:pStyle w:val="ListParagraph"/>
        <w:numPr>
          <w:ilvl w:val="0"/>
          <w:numId w:val="1"/>
        </w:numPr>
        <w:spacing w:after="80" w:line="276" w:lineRule="auto"/>
      </w:pPr>
      <w:r>
        <w:rPr>
          <w:rFonts w:ascii="Arial" w:cs="Arial" w:eastAsia="Arial" w:hAnsi="Arial"/>
          <w:color w:val="1A1A1A"/>
          <w:sz w:val="24"/>
          <w:szCs w:val="24"/>
        </w:rPr>
        <w:t xml:space="preserve">Complaints should be immediately forwarded to the CCO and documented in the Complaint Log.</w:t>
      </w:r>
    </w:p>
    <w:p>
      <w:pPr>
        <w:pStyle w:val="ListParagraph"/>
        <w:numPr>
          <w:ilvl w:val="0"/>
          <w:numId w:val="1"/>
        </w:numPr>
        <w:spacing w:after="80" w:line="276" w:lineRule="auto"/>
      </w:pPr>
      <w:r>
        <w:rPr>
          <w:rFonts w:ascii="Arial" w:cs="Arial" w:eastAsia="Arial" w:hAnsi="Arial"/>
          <w:color w:val="1A1A1A"/>
          <w:sz w:val="24"/>
          <w:szCs w:val="24"/>
        </w:rPr>
        <w:t xml:space="preserve">All correspondence from clients is to be retained in the appropriate client file.</w:t>
      </w:r>
    </w:p>
    <w:p>
      <w:pPr>
        <w:pStyle w:val="Heading2"/>
        <w:keepNext/>
        <w:keepLines/>
        <w:spacing w:after="100" w:before="200"/>
      </w:pPr>
      <w:r>
        <w:rPr>
          <w:rFonts w:ascii="Arial" w:cs="Arial" w:eastAsia="Arial" w:hAnsi="Arial"/>
          <w:b/>
          <w:bCs/>
          <w:color w:val="2E6B9E"/>
          <w:sz w:val="28"/>
          <w:szCs w:val="28"/>
        </w:rPr>
        <w:t xml:space="preserve">Electronic Communications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The term “electronic communications” includes, but is not necessarily limited to business communications made through: Telephone; E-mail; Facsimile; Website; Video teleconferencing; and Internet Relay Chat (IRC), bulletin boards and similar news or discussion groups.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Electronic communications with clients, regulators, or the public concerning our business are permitted only on BWP communications systems and through firm-approved email addresses. Electronic communications are not private and will be archived and reviewed no less than quarterly by the CCO. No staff member, unless specifically authorized by the CCO, is permitted to post anything on BWP’s website. Without the pre-approval of the CCO, no staff member may post any information concerning BWP, its business, or clients to the Internet.</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 must obtain client consent prior to using electronic communications to deliver regulatory documents, including the Advisor’s Form ADV and privacy policy.</w:t>
      </w:r>
    </w:p>
    <w:p>
      <w:pPr>
        <w:pStyle w:val="ListParagraph"/>
        <w:numPr>
          <w:ilvl w:val="0"/>
          <w:numId w:val="1"/>
        </w:numPr>
        <w:spacing w:after="80" w:line="276" w:lineRule="auto"/>
      </w:pPr>
      <w:r>
        <w:rPr>
          <w:rFonts w:ascii="Arial" w:cs="Arial" w:eastAsia="Arial" w:hAnsi="Arial"/>
          <w:color w:val="1A1A1A"/>
          <w:sz w:val="24"/>
          <w:szCs w:val="24"/>
        </w:rPr>
        <w:t xml:space="preserve">Electronic communications sent and received are automatically archived and shall be retained for the required retention period.</w:t>
      </w:r>
    </w:p>
    <w:p>
      <w:pPr>
        <w:pStyle w:val="ListParagraph"/>
        <w:numPr>
          <w:ilvl w:val="0"/>
          <w:numId w:val="1"/>
        </w:numPr>
        <w:spacing w:after="80" w:line="276" w:lineRule="auto"/>
      </w:pPr>
      <w:r>
        <w:rPr>
          <w:rFonts w:ascii="Arial" w:cs="Arial" w:eastAsia="Arial" w:hAnsi="Arial"/>
          <w:color w:val="1A1A1A"/>
          <w:sz w:val="24"/>
          <w:szCs w:val="24"/>
        </w:rPr>
        <w:t xml:space="preserve">Communications received with inappropriate content must be reported to the CCO and may be deleted/discarded upon approval.</w:t>
      </w:r>
    </w:p>
    <w:p>
      <w:pPr>
        <w:pStyle w:val="ListParagraph"/>
        <w:numPr>
          <w:ilvl w:val="0"/>
          <w:numId w:val="1"/>
        </w:numPr>
        <w:spacing w:after="80" w:line="276" w:lineRule="auto"/>
      </w:pPr>
      <w:r>
        <w:rPr>
          <w:rFonts w:ascii="Arial" w:cs="Arial" w:eastAsia="Arial" w:hAnsi="Arial"/>
          <w:color w:val="1A1A1A"/>
          <w:sz w:val="24"/>
          <w:szCs w:val="24"/>
        </w:rPr>
        <w:t xml:space="preserve">All supervised persons should attempt to limit the amount of confidential, classified, or proprietary information that is transmitted electronically to only that which is necessary and required to conduct one’s job. Supervised persons are prohibited from sending unauthorized proprietary information including forwarding such information to their personal email account(s).</w:t>
      </w:r>
    </w:p>
    <w:p>
      <w:pPr>
        <w:pStyle w:val="Heading1"/>
        <w:keepNext/>
        <w:keepLines/>
        <w:spacing w:after="120" w:before="240"/>
      </w:pPr>
      <w:r>
        <w:rPr>
          <w:rFonts w:ascii="Arial" w:cs="Arial" w:eastAsia="Arial" w:hAnsi="Arial"/>
          <w:b/>
          <w:bCs/>
          <w:color w:val="1B3A5C"/>
          <w:sz w:val="32"/>
          <w:szCs w:val="32"/>
        </w:rPr>
        <w:t xml:space="preserve">Client Engagement</w:t>
      </w:r>
    </w:p>
    <w:p>
      <w:pPr>
        <w:pStyle w:val="Heading2"/>
        <w:keepNext/>
        <w:keepLines/>
        <w:spacing w:after="100" w:before="200"/>
      </w:pPr>
      <w:r>
        <w:rPr>
          <w:rFonts w:ascii="Arial" w:cs="Arial" w:eastAsia="Arial" w:hAnsi="Arial"/>
          <w:b/>
          <w:bCs/>
          <w:color w:val="2E6B9E"/>
          <w:sz w:val="28"/>
          <w:szCs w:val="28"/>
        </w:rPr>
        <w:t xml:space="preserve">Advisory Contracts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Written Advisory Contracts form the legal and contractual basis for an advisory relationship between an investment adviser and the client. Advisory Contracts provide protections for both parties.</w:t>
      </w:r>
    </w:p>
    <w:p>
      <w:pPr>
        <w:spacing w:after="80" w:line="276" w:lineRule="auto"/>
      </w:pPr>
      <w:r>
        <w:rPr>
          <w:rFonts w:ascii="Arial" w:cs="Arial" w:eastAsia="Arial" w:hAnsi="Arial"/>
          <w:b/>
          <w:bCs/>
          <w:color w:val="1A1A1A"/>
          <w:sz w:val="24"/>
          <w:szCs w:val="24"/>
        </w:rPr>
        <w:t xml:space="preserve">Policy: </w:t>
      </w:r>
    </w:p>
    <w:p>
      <w:pPr>
        <w:pStyle w:val="ListParagraph"/>
        <w:numPr>
          <w:ilvl w:val="0"/>
          <w:numId w:val="1"/>
        </w:numPr>
        <w:spacing w:after="80" w:line="276" w:lineRule="auto"/>
      </w:pPr>
      <w:r>
        <w:rPr>
          <w:rFonts w:ascii="Arial" w:cs="Arial" w:eastAsia="Arial" w:hAnsi="Arial"/>
          <w:color w:val="1A1A1A"/>
          <w:sz w:val="24"/>
          <w:szCs w:val="24"/>
        </w:rPr>
        <w:t xml:space="preserve">We require a fully executed Advisory Contract to be in place for each client.</w:t>
      </w:r>
    </w:p>
    <w:p>
      <w:pPr>
        <w:pStyle w:val="ListParagraph"/>
        <w:numPr>
          <w:ilvl w:val="0"/>
          <w:numId w:val="1"/>
        </w:numPr>
        <w:spacing w:after="80" w:line="276" w:lineRule="auto"/>
      </w:pPr>
      <w:r>
        <w:rPr>
          <w:rFonts w:ascii="Arial" w:cs="Arial" w:eastAsia="Arial" w:hAnsi="Arial"/>
          <w:color w:val="1A1A1A"/>
          <w:sz w:val="24"/>
          <w:szCs w:val="24"/>
        </w:rPr>
        <w:t xml:space="preserve">Each Advisory Contract shall be in writing and include a description of the services to be provided, the term of the contract, the investment advisory fee, the amount of prepaid fee to be returned in the event of termination, and any grant of discretionary power.</w:t>
      </w:r>
    </w:p>
    <w:p>
      <w:pPr>
        <w:pStyle w:val="ListParagraph"/>
        <w:numPr>
          <w:ilvl w:val="0"/>
          <w:numId w:val="1"/>
        </w:numPr>
        <w:spacing w:after="80" w:line="276" w:lineRule="auto"/>
      </w:pPr>
      <w:r>
        <w:rPr>
          <w:rFonts w:ascii="Arial" w:cs="Arial" w:eastAsia="Arial" w:hAnsi="Arial"/>
          <w:color w:val="1A1A1A"/>
          <w:sz w:val="24"/>
          <w:szCs w:val="24"/>
        </w:rPr>
        <w:t xml:space="preserve">Each Advisory Contract must convey that the advisory services that we provide to the client may not be assigned by us to any other person without the prior consent of the client.</w:t>
      </w:r>
    </w:p>
    <w:p>
      <w:pPr>
        <w:pStyle w:val="ListParagraph"/>
        <w:numPr>
          <w:ilvl w:val="0"/>
          <w:numId w:val="1"/>
        </w:numPr>
        <w:spacing w:after="80" w:line="276" w:lineRule="auto"/>
      </w:pPr>
      <w:r>
        <w:rPr>
          <w:rFonts w:ascii="Arial" w:cs="Arial" w:eastAsia="Arial" w:hAnsi="Arial"/>
          <w:color w:val="1A1A1A"/>
          <w:sz w:val="24"/>
          <w:szCs w:val="24"/>
        </w:rPr>
        <w:t xml:space="preserve">The Advisory Contracts cannot include provisions providing for Advisor’s compensation to be based on the performance of the client’s account.</w:t>
      </w:r>
    </w:p>
    <w:p>
      <w:pPr>
        <w:pStyle w:val="ListParagraph"/>
        <w:numPr>
          <w:ilvl w:val="0"/>
          <w:numId w:val="1"/>
        </w:numPr>
        <w:spacing w:after="80" w:line="276" w:lineRule="auto"/>
      </w:pPr>
      <w:r>
        <w:rPr>
          <w:rFonts w:ascii="Arial" w:cs="Arial" w:eastAsia="Arial" w:hAnsi="Arial"/>
          <w:color w:val="1A1A1A"/>
          <w:sz w:val="24"/>
          <w:szCs w:val="24"/>
        </w:rPr>
        <w:t xml:space="preserve">The Advisory Contract cannot contain any language that is likely to lead the client to believe that the client has waived any right of action against BWP that is available under state or federal law.</w:t>
      </w:r>
    </w:p>
    <w:p>
      <w:pPr>
        <w:pStyle w:val="ListParagraph"/>
        <w:numPr>
          <w:ilvl w:val="0"/>
          <w:numId w:val="1"/>
        </w:numPr>
        <w:spacing w:after="80" w:line="276" w:lineRule="auto"/>
      </w:pPr>
      <w:r>
        <w:rPr>
          <w:rFonts w:ascii="Arial" w:cs="Arial" w:eastAsia="Arial" w:hAnsi="Arial"/>
          <w:color w:val="1A1A1A"/>
          <w:sz w:val="24"/>
          <w:szCs w:val="24"/>
        </w:rPr>
        <w:t xml:space="preserve">To be considered fully executed, the Advisory Contract must be reviewed and signed by both the client and an authorized member of BWP.</w:t>
      </w:r>
    </w:p>
    <w:p>
      <w:pPr>
        <w:pStyle w:val="ListParagraph"/>
        <w:numPr>
          <w:ilvl w:val="0"/>
          <w:numId w:val="1"/>
        </w:numPr>
        <w:spacing w:after="80" w:line="276" w:lineRule="auto"/>
      </w:pPr>
      <w:r>
        <w:rPr>
          <w:rFonts w:ascii="Arial" w:cs="Arial" w:eastAsia="Arial" w:hAnsi="Arial"/>
          <w:color w:val="1A1A1A"/>
          <w:sz w:val="24"/>
          <w:szCs w:val="24"/>
        </w:rPr>
        <w:t xml:space="preserve">If the client does not receive the firm’s Form ADV Part 2A at least 48 hours prior to the client entering into the Advisory Contract, the client has the right to terminate the Advisory Contract without penalty.</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appropriate Advisory Contract is prepared and sent to the prospective client to be signed and returned. Once all parties have executed the Agreement, BWP will retain the Advisory Contract during the entire Advisor-Client relationship and five (5) years after termination of the Contract.</w:t>
      </w:r>
    </w:p>
    <w:p>
      <w:pPr>
        <w:pStyle w:val="ListParagraph"/>
        <w:numPr>
          <w:ilvl w:val="0"/>
          <w:numId w:val="1"/>
        </w:numPr>
        <w:spacing w:after="80" w:line="276" w:lineRule="auto"/>
      </w:pPr>
      <w:r>
        <w:rPr>
          <w:rFonts w:ascii="Arial" w:cs="Arial" w:eastAsia="Arial" w:hAnsi="Arial"/>
          <w:color w:val="1A1A1A"/>
          <w:sz w:val="24"/>
          <w:szCs w:val="24"/>
        </w:rPr>
        <w:t xml:space="preserve">Once the Advisory Contract is deemed fully executed and in effect, a copy of the executed Advisory Contract, our Form ADV Part 2A and applicable Part 2B, and our Privacy Policy is provided or sent to the client (if not already provided).</w:t>
      </w:r>
    </w:p>
    <w:p>
      <w:pPr>
        <w:pStyle w:val="Heading2"/>
        <w:keepNext/>
        <w:keepLines/>
        <w:spacing w:after="100" w:before="200"/>
      </w:pPr>
      <w:r>
        <w:rPr>
          <w:rFonts w:ascii="Arial" w:cs="Arial" w:eastAsia="Arial" w:hAnsi="Arial"/>
          <w:b/>
          <w:bCs/>
          <w:color w:val="2E6B9E"/>
          <w:sz w:val="28"/>
          <w:szCs w:val="28"/>
        </w:rPr>
        <w:t xml:space="preserve">Mandatory Arbitration Clause Prohibition (OAC 1301:6-3-15.1(I)(1)(d))</w:t>
      </w:r>
    </w:p>
    <w:p>
      <w:pPr>
        <w:spacing w:after="120" w:line="276" w:lineRule="auto"/>
      </w:pPr>
      <w:r>
        <w:rPr>
          <w:rFonts w:ascii="Arial" w:cs="Arial" w:eastAsia="Arial" w:hAnsi="Arial"/>
          <w:color w:val="1A1A1A"/>
          <w:sz w:val="24"/>
          <w:szCs w:val="24"/>
        </w:rPr>
        <w:t xml:space="preserve">BWP prohibits the inclusion of mandatory arbitration clauses in any advisory agreement. Clients must retain their full legal rights and remedies under state and federal law, including the right to seek redress in court.</w:t>
      </w:r>
    </w:p>
    <w:p>
      <w:pPr>
        <w:pStyle w:val="Heading2"/>
        <w:keepNext/>
        <w:keepLines/>
        <w:spacing w:after="100" w:before="200"/>
      </w:pPr>
      <w:r>
        <w:rPr>
          <w:rFonts w:ascii="Arial" w:cs="Arial" w:eastAsia="Arial" w:hAnsi="Arial"/>
          <w:b/>
          <w:bCs/>
          <w:color w:val="2E6B9E"/>
          <w:sz w:val="28"/>
          <w:szCs w:val="28"/>
        </w:rPr>
        <w:t xml:space="preserve">Opening and Terminating Client Accounts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Prior to engaging a potential client for advisory services, certain disclosure documents must be delivered, advisory agreements must be signed, and sufficient information must be collected in order to establish an account under an adviser’s management.</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enters into an investment advisory relationship with client only after certain procedures are followed.</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 shall provide clients with the account opening documentation needed to establish an account at the qualified custodian.</w:t>
      </w:r>
    </w:p>
    <w:p>
      <w:pPr>
        <w:pStyle w:val="ListParagraph"/>
        <w:numPr>
          <w:ilvl w:val="0"/>
          <w:numId w:val="1"/>
        </w:numPr>
        <w:spacing w:after="80" w:line="276" w:lineRule="auto"/>
      </w:pPr>
      <w:r>
        <w:rPr>
          <w:rFonts w:ascii="Arial" w:cs="Arial" w:eastAsia="Arial" w:hAnsi="Arial"/>
          <w:color w:val="1A1A1A"/>
          <w:sz w:val="24"/>
          <w:szCs w:val="24"/>
        </w:rPr>
        <w:t xml:space="preserve">BWP shall work in conjunction with the qualified custodian in verifying certain information about the client such as the client’s identity, address, employment, and amount of assets.</w:t>
      </w:r>
    </w:p>
    <w:p>
      <w:pPr>
        <w:pStyle w:val="ListParagraph"/>
        <w:numPr>
          <w:ilvl w:val="0"/>
          <w:numId w:val="1"/>
        </w:numPr>
        <w:spacing w:after="80" w:line="276" w:lineRule="auto"/>
      </w:pPr>
      <w:r>
        <w:rPr>
          <w:rFonts w:ascii="Arial" w:cs="Arial" w:eastAsia="Arial" w:hAnsi="Arial"/>
          <w:color w:val="1A1A1A"/>
          <w:sz w:val="24"/>
          <w:szCs w:val="24"/>
        </w:rPr>
        <w:t xml:space="preserve">Clients may terminate their advisory relationship with BWP provided thirty (30) calendar days written notice. Upon receipt of a termination notice from the client, BWP shall immediately notify the client of receipt of such notice. Upon termination, any prepaid, unearned fees will be promptly refunded, and any earned, unpaid fees will be due and payable.</w:t>
      </w:r>
    </w:p>
    <w:p>
      <w:pPr>
        <w:pStyle w:val="ListParagraph"/>
        <w:numPr>
          <w:ilvl w:val="0"/>
          <w:numId w:val="1"/>
        </w:numPr>
        <w:spacing w:after="80" w:line="276" w:lineRule="auto"/>
      </w:pPr>
      <w:r>
        <w:rPr>
          <w:rFonts w:ascii="Arial" w:cs="Arial" w:eastAsia="Arial" w:hAnsi="Arial"/>
          <w:color w:val="1A1A1A"/>
          <w:sz w:val="24"/>
          <w:szCs w:val="24"/>
        </w:rPr>
        <w:t xml:space="preserve">Once the account is transferred or closed, BWP shall maintain client records for the required retention period.</w:t>
      </w:r>
    </w:p>
    <w:p>
      <w:pPr>
        <w:pStyle w:val="ListParagraph"/>
        <w:numPr>
          <w:ilvl w:val="0"/>
          <w:numId w:val="1"/>
        </w:numPr>
        <w:spacing w:after="80" w:line="276" w:lineRule="auto"/>
      </w:pPr>
      <w:r>
        <w:rPr>
          <w:rFonts w:ascii="Arial" w:cs="Arial" w:eastAsia="Arial" w:hAnsi="Arial"/>
          <w:color w:val="1A1A1A"/>
          <w:sz w:val="24"/>
          <w:szCs w:val="24"/>
        </w:rPr>
        <w:t xml:space="preserve">Advisor must maintain a list of terminated clients, including the client name, account number, date of termination, and reason for termination.</w:t>
      </w:r>
    </w:p>
    <w:p>
      <w:pPr>
        <w:pStyle w:val="Heading2"/>
        <w:keepNext/>
        <w:keepLines/>
        <w:spacing w:after="100" w:before="200"/>
      </w:pPr>
      <w:r>
        <w:rPr>
          <w:rFonts w:ascii="Arial" w:cs="Arial" w:eastAsia="Arial" w:hAnsi="Arial"/>
          <w:b/>
          <w:bCs/>
          <w:color w:val="2E6B9E"/>
          <w:sz w:val="28"/>
          <w:szCs w:val="28"/>
        </w:rPr>
        <w:t xml:space="preserve">Advisory Fees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Federal and state regulations prohibit advisory firms from charging a client an unreasonable advisory fee.</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shall charge advisory fees that are reasonable in light of the services our firm provides. Advisory fees, including how they are valued, computed, and deducted shall be outlined in the Advisory Contract with every client.</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We disclose whether fees are negotiable in Form ADV and the Advisory Contract. If we do negotiate a fee that differs from our published fee schedule, the negotiated fee is clearly outlined in the client’s advisory contract.</w:t>
      </w:r>
    </w:p>
    <w:p>
      <w:pPr>
        <w:pStyle w:val="ListParagraph"/>
        <w:numPr>
          <w:ilvl w:val="0"/>
          <w:numId w:val="1"/>
        </w:numPr>
        <w:spacing w:after="80" w:line="276" w:lineRule="auto"/>
      </w:pPr>
      <w:r>
        <w:rPr>
          <w:rFonts w:ascii="Arial" w:cs="Arial" w:eastAsia="Arial" w:hAnsi="Arial"/>
          <w:color w:val="1A1A1A"/>
          <w:sz w:val="24"/>
          <w:szCs w:val="24"/>
        </w:rPr>
        <w:t xml:space="preserve">BWP will not charge a fee in excess of what is disclosed in our ADV Part 2A.</w:t>
      </w:r>
    </w:p>
    <w:p>
      <w:pPr>
        <w:pStyle w:val="ListParagraph"/>
        <w:numPr>
          <w:ilvl w:val="0"/>
          <w:numId w:val="1"/>
        </w:numPr>
        <w:spacing w:after="80" w:line="276" w:lineRule="auto"/>
      </w:pPr>
      <w:r>
        <w:rPr>
          <w:rFonts w:ascii="Arial" w:cs="Arial" w:eastAsia="Arial" w:hAnsi="Arial"/>
          <w:color w:val="1A1A1A"/>
          <w:sz w:val="24"/>
          <w:szCs w:val="24"/>
        </w:rPr>
        <w:t xml:space="preserve">The CCO shall periodically review client fee billing to ensure accuracy.</w:t>
      </w:r>
    </w:p>
    <w:p>
      <w:pPr>
        <w:pStyle w:val="ListParagraph"/>
        <w:numPr>
          <w:ilvl w:val="0"/>
          <w:numId w:val="1"/>
        </w:numPr>
        <w:spacing w:after="80" w:line="276" w:lineRule="auto"/>
      </w:pPr>
      <w:r>
        <w:rPr>
          <w:rFonts w:ascii="Arial" w:cs="Arial" w:eastAsia="Arial" w:hAnsi="Arial"/>
          <w:color w:val="1A1A1A"/>
          <w:sz w:val="24"/>
          <w:szCs w:val="24"/>
        </w:rPr>
        <w:t xml:space="preserve">BWP shall notify clients promptly if the firm detected a fee discrepancy. If a refund is required, BWP may issue a check or provide a credit in advisory fees.</w:t>
      </w:r>
    </w:p>
    <w:p>
      <w:pPr>
        <w:pStyle w:val="ListParagraph"/>
        <w:numPr>
          <w:ilvl w:val="0"/>
          <w:numId w:val="1"/>
        </w:numPr>
        <w:spacing w:after="80" w:line="276" w:lineRule="auto"/>
      </w:pPr>
      <w:r>
        <w:rPr>
          <w:rFonts w:ascii="Arial" w:cs="Arial" w:eastAsia="Arial" w:hAnsi="Arial"/>
          <w:color w:val="1A1A1A"/>
          <w:sz w:val="24"/>
          <w:szCs w:val="24"/>
        </w:rPr>
        <w:t xml:space="preserve">No part of the compensation paid to BWP shall be based on the share of capital gains on or capital appreciation of the assets of a client.</w:t>
      </w:r>
    </w:p>
    <w:p>
      <w:pPr>
        <w:pStyle w:val="Heading1"/>
        <w:keepNext/>
        <w:keepLines/>
        <w:spacing w:after="120" w:before="240"/>
      </w:pPr>
      <w:r>
        <w:rPr>
          <w:rFonts w:ascii="Arial" w:cs="Arial" w:eastAsia="Arial" w:hAnsi="Arial"/>
          <w:b/>
          <w:bCs/>
          <w:color w:val="1B3A5C"/>
          <w:sz w:val="32"/>
          <w:szCs w:val="32"/>
        </w:rPr>
        <w:t xml:space="preserve">Disclosure Documents</w:t>
      </w:r>
    </w:p>
    <w:p>
      <w:pPr>
        <w:pStyle w:val="Heading2"/>
        <w:keepNext/>
        <w:keepLines/>
        <w:spacing w:after="100" w:before="200"/>
      </w:pPr>
      <w:r>
        <w:rPr>
          <w:rFonts w:ascii="Arial" w:cs="Arial" w:eastAsia="Arial" w:hAnsi="Arial"/>
          <w:b/>
          <w:bCs/>
          <w:color w:val="2E6B9E"/>
          <w:sz w:val="28"/>
          <w:szCs w:val="28"/>
        </w:rPr>
        <w:t xml:space="preserve">Form ADV Part 1</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Registration of Investment Advisers is done through the FINRA Firm Gateway/Investment Adviser Registration Depository (IARD). 90 days after each fiscal year of the Advisor, the Advisor must update its assets under management figures among other pertinent information in order to confirm its registration status.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shall designate the appropriate personnel as the Super Account Administrator (SAA) for the FINRA Gateway system.</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Form ADV Part 1 will be updated annually by 90 days after the Advisor’s fiscal year end.</w:t>
      </w:r>
    </w:p>
    <w:p>
      <w:pPr>
        <w:pStyle w:val="ListParagraph"/>
        <w:numPr>
          <w:ilvl w:val="0"/>
          <w:numId w:val="1"/>
        </w:numPr>
        <w:spacing w:after="80" w:line="276" w:lineRule="auto"/>
      </w:pPr>
      <w:r>
        <w:rPr>
          <w:rFonts w:ascii="Arial" w:cs="Arial" w:eastAsia="Arial" w:hAnsi="Arial"/>
          <w:color w:val="1A1A1A"/>
          <w:sz w:val="24"/>
          <w:szCs w:val="24"/>
        </w:rPr>
        <w:t xml:space="preserve">The SAA must review all users with access to BWP’s FINRA account on at least an annual basis to add or remove any new or terminated users.</w:t>
      </w:r>
    </w:p>
    <w:p>
      <w:pPr>
        <w:pStyle w:val="Heading2"/>
        <w:keepNext/>
        <w:keepLines/>
        <w:spacing w:after="100" w:before="200"/>
      </w:pPr>
      <w:r>
        <w:rPr>
          <w:rFonts w:ascii="Arial" w:cs="Arial" w:eastAsia="Arial" w:hAnsi="Arial"/>
          <w:b/>
          <w:bCs/>
          <w:color w:val="2E6B9E"/>
          <w:sz w:val="28"/>
          <w:szCs w:val="28"/>
        </w:rPr>
        <w:t xml:space="preserve">Form ADV Part 2A "Firm Brochure"</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Under federal and state law, investment advisers are a fiduciary and must make full disclosure to clients of all material facts relating to the advisory relationship. As a fiduciary, investment advisers also must seek to avoid conflicts of interest with clients, and, at a minimum, make full disclosure of all material conflicts of interest.</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All information provided in BWP’s Firm Brochure must be true and may not omit any material facts.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A representative of BWP will provide a copy of the Form ADV Part 2A to each prospective client either at the time of entering into an Advisory Contract with the client or not less than 48 hours prior to entering into the agreement.</w:t>
      </w:r>
    </w:p>
    <w:p>
      <w:pPr>
        <w:pStyle w:val="ListParagraph"/>
        <w:numPr>
          <w:ilvl w:val="0"/>
          <w:numId w:val="1"/>
        </w:numPr>
        <w:spacing w:after="80" w:line="276" w:lineRule="auto"/>
      </w:pPr>
      <w:r>
        <w:rPr>
          <w:rFonts w:ascii="Arial" w:cs="Arial" w:eastAsia="Arial" w:hAnsi="Arial"/>
          <w:color w:val="1A1A1A"/>
          <w:sz w:val="24"/>
          <w:szCs w:val="24"/>
        </w:rPr>
        <w:t xml:space="preserve">When material changes occur, BWP will update its Firm Brochure within 30 days. Clients will be provided a summary of material changes plus an offer of the updated Firm Brochure within 30 days from the date of filing.</w:t>
      </w:r>
    </w:p>
    <w:p>
      <w:pPr>
        <w:pStyle w:val="ListParagraph"/>
        <w:numPr>
          <w:ilvl w:val="0"/>
          <w:numId w:val="1"/>
        </w:numPr>
        <w:spacing w:after="80" w:line="276" w:lineRule="auto"/>
      </w:pPr>
      <w:r>
        <w:rPr>
          <w:rFonts w:ascii="Arial" w:cs="Arial" w:eastAsia="Arial" w:hAnsi="Arial"/>
          <w:color w:val="1A1A1A"/>
          <w:sz w:val="24"/>
          <w:szCs w:val="24"/>
        </w:rPr>
        <w:t xml:space="preserve">Each year we must: (i) deliver, within 120 days of the fiscal year, to each client a free updated brochure that either includes a summary of material changes or is accompanied by a summary of material changes, or (ii) deliver to each client a summary of material changes that includes an offer to provide a copy of the updated brochure.</w:t>
      </w:r>
    </w:p>
    <w:p>
      <w:pPr>
        <w:pStyle w:val="Heading2"/>
        <w:keepNext/>
        <w:keepLines/>
        <w:spacing w:after="100" w:before="200"/>
      </w:pPr>
      <w:r>
        <w:rPr>
          <w:rFonts w:ascii="Arial" w:cs="Arial" w:eastAsia="Arial" w:hAnsi="Arial"/>
          <w:b/>
          <w:bCs/>
          <w:color w:val="2E6B9E"/>
          <w:sz w:val="28"/>
          <w:szCs w:val="28"/>
        </w:rPr>
        <w:t xml:space="preserve">Form ADV Part 2B "Brochure Supplement"</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We must prepare a brochure supplement for supervised persons who: (i) formulate investment advice for a client and have direct client contact; and (ii) have discretionary authority over a client’s assets, even if they have no direct client contact.</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The Part 2B is maintained for each investment adviser representative of our firm.</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We are required to prepare and deliver a Brochure Supplement for certain supervisory persons who provide advisory services to the client. This delivery must be made before, or at the time, the supervised person begins to provide advisory services to the client.</w:t>
      </w:r>
    </w:p>
    <w:p>
      <w:pPr>
        <w:pStyle w:val="ListParagraph"/>
        <w:numPr>
          <w:ilvl w:val="0"/>
          <w:numId w:val="1"/>
        </w:numPr>
        <w:spacing w:after="80" w:line="276" w:lineRule="auto"/>
      </w:pPr>
      <w:r>
        <w:rPr>
          <w:rFonts w:ascii="Arial" w:cs="Arial" w:eastAsia="Arial" w:hAnsi="Arial"/>
          <w:color w:val="1A1A1A"/>
          <w:sz w:val="24"/>
          <w:szCs w:val="24"/>
        </w:rPr>
        <w:t xml:space="preserve">If an update is made to Item 3 ("Disciplinary Information") of Part 2B, then the update must be provided to existing clients within 30 days of the change.</w:t>
      </w:r>
    </w:p>
    <w:p>
      <w:pPr>
        <w:pStyle w:val="Heading1"/>
        <w:keepNext/>
        <w:keepLines/>
        <w:spacing w:after="120" w:before="240"/>
      </w:pPr>
      <w:r>
        <w:rPr>
          <w:rFonts w:ascii="Arial" w:cs="Arial" w:eastAsia="Arial" w:hAnsi="Arial"/>
          <w:b/>
          <w:bCs/>
          <w:color w:val="1B3A5C"/>
          <w:sz w:val="32"/>
          <w:szCs w:val="32"/>
        </w:rPr>
        <w:t xml:space="preserve">Financial Exploitation of an Eligible Adult / Elder Abuse (ORC 5101.63 / ORC 1707.49)</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Elder financial exploitation has been recognized as the fastest-growing category of elder abuse in most states. An Eligible adult is defined as an individual that is at least sixty (60+) years of age or older or is otherwise a vulnerable adult. Vulnerable adult means an individual who is eighteen years of age or older and who is unable to protect himself or herself from abuse, neglect or exploitation by others because of a physical or mental impairment.</w:t>
      </w:r>
    </w:p>
    <w:p>
      <w:pPr>
        <w:pStyle w:val="Heading3"/>
        <w:keepNext/>
        <w:keepLines/>
        <w:spacing w:after="80" w:before="160"/>
      </w:pPr>
      <w:r>
        <w:rPr>
          <w:rFonts w:ascii="Arial" w:cs="Arial" w:eastAsia="Arial" w:hAnsi="Arial"/>
          <w:b/>
          <w:bCs/>
          <w:color w:val="1A1A1A"/>
          <w:sz w:val="24"/>
          <w:szCs w:val="24"/>
        </w:rPr>
        <w:t xml:space="preserve">Red Flags for Diminished Capacity</w:t>
      </w:r>
    </w:p>
    <w:p>
      <w:pPr>
        <w:pStyle w:val="ListParagraph"/>
        <w:numPr>
          <w:ilvl w:val="0"/>
          <w:numId w:val="1"/>
        </w:numPr>
        <w:spacing w:after="80" w:line="276" w:lineRule="auto"/>
      </w:pPr>
      <w:r>
        <w:rPr>
          <w:rFonts w:ascii="Arial" w:cs="Arial" w:eastAsia="Arial" w:hAnsi="Arial"/>
          <w:color w:val="1A1A1A"/>
          <w:sz w:val="24"/>
          <w:szCs w:val="24"/>
        </w:rPr>
        <w:t xml:space="preserve">Cognitive decline, often brought on by diseases such as Alzheimer’s, can make elderly individuals more susceptible to financial abuse.</w:t>
      </w:r>
    </w:p>
    <w:p>
      <w:pPr>
        <w:pStyle w:val="ListParagraph"/>
        <w:numPr>
          <w:ilvl w:val="0"/>
          <w:numId w:val="1"/>
        </w:numPr>
        <w:spacing w:after="80" w:line="276" w:lineRule="auto"/>
      </w:pPr>
      <w:r>
        <w:rPr>
          <w:rFonts w:ascii="Arial" w:cs="Arial" w:eastAsia="Arial" w:hAnsi="Arial"/>
          <w:color w:val="1A1A1A"/>
          <w:sz w:val="24"/>
          <w:szCs w:val="24"/>
        </w:rPr>
        <w:t xml:space="preserve">A lack of knowledge regarding major financial transactions and unusual spending behavior, including increased use of credit cards and large ATM withdrawals.</w:t>
      </w:r>
    </w:p>
    <w:p>
      <w:pPr>
        <w:pStyle w:val="ListParagraph"/>
        <w:numPr>
          <w:ilvl w:val="0"/>
          <w:numId w:val="1"/>
        </w:numPr>
        <w:spacing w:after="80" w:line="276" w:lineRule="auto"/>
      </w:pPr>
      <w:r>
        <w:rPr>
          <w:rFonts w:ascii="Arial" w:cs="Arial" w:eastAsia="Arial" w:hAnsi="Arial"/>
          <w:color w:val="1A1A1A"/>
          <w:sz w:val="24"/>
          <w:szCs w:val="24"/>
        </w:rPr>
        <w:t xml:space="preserve">Sudden changes in an elderly individual’s mood, including depression and nervousness.</w:t>
      </w:r>
    </w:p>
    <w:p>
      <w:pPr>
        <w:pStyle w:val="ListParagraph"/>
        <w:numPr>
          <w:ilvl w:val="0"/>
          <w:numId w:val="1"/>
        </w:numPr>
        <w:spacing w:after="80" w:line="276" w:lineRule="auto"/>
      </w:pPr>
      <w:r>
        <w:rPr>
          <w:rFonts w:ascii="Arial" w:cs="Arial" w:eastAsia="Arial" w:hAnsi="Arial"/>
          <w:color w:val="1A1A1A"/>
          <w:sz w:val="24"/>
          <w:szCs w:val="24"/>
        </w:rPr>
        <w:t xml:space="preserve">New best friends, particularly those that appear interested in the elderly individual’s finances.</w:t>
      </w:r>
    </w:p>
    <w:p>
      <w:pPr>
        <w:pStyle w:val="ListParagraph"/>
        <w:numPr>
          <w:ilvl w:val="0"/>
          <w:numId w:val="1"/>
        </w:numPr>
        <w:spacing w:after="80" w:line="276" w:lineRule="auto"/>
      </w:pPr>
      <w:r>
        <w:rPr>
          <w:rFonts w:ascii="Arial" w:cs="Arial" w:eastAsia="Arial" w:hAnsi="Arial"/>
          <w:color w:val="1A1A1A"/>
          <w:sz w:val="24"/>
          <w:szCs w:val="24"/>
        </w:rPr>
        <w:t xml:space="preserve">Unpaid bills, a lack of food in the home, and missing personal possessions.</w:t>
      </w:r>
    </w:p>
    <w:p>
      <w:pPr>
        <w:pStyle w:val="ListParagraph"/>
        <w:numPr>
          <w:ilvl w:val="0"/>
          <w:numId w:val="1"/>
        </w:numPr>
        <w:spacing w:after="80" w:line="276" w:lineRule="auto"/>
      </w:pPr>
      <w:r>
        <w:rPr>
          <w:rFonts w:ascii="Arial" w:cs="Arial" w:eastAsia="Arial" w:hAnsi="Arial"/>
          <w:color w:val="1A1A1A"/>
          <w:sz w:val="24"/>
          <w:szCs w:val="24"/>
        </w:rPr>
        <w:t xml:space="preserve">Sudden legal changes, such as estate planning and power of attorney.</w:t>
      </w:r>
    </w:p>
    <w:p>
      <w:pPr>
        <w:spacing w:after="80" w:line="276" w:lineRule="auto"/>
      </w:pPr>
      <w:r>
        <w:rPr>
          <w:rFonts w:ascii="Arial" w:cs="Arial" w:eastAsia="Arial" w:hAnsi="Arial"/>
          <w:b/>
          <w:bCs/>
          <w:color w:val="1A1A1A"/>
          <w:sz w:val="24"/>
          <w:szCs w:val="24"/>
        </w:rPr>
        <w:t xml:space="preserve">Policy: </w:t>
      </w:r>
    </w:p>
    <w:p>
      <w:pPr>
        <w:spacing w:after="120" w:line="276" w:lineRule="auto"/>
      </w:pPr>
      <w:r>
        <w:rPr>
          <w:rFonts w:ascii="Arial" w:cs="Arial" w:eastAsia="Arial" w:hAnsi="Arial"/>
          <w:color w:val="1A1A1A"/>
          <w:sz w:val="24"/>
          <w:szCs w:val="24"/>
        </w:rPr>
        <w:t xml:space="preserve">Employee Training: Supervised Persons of the Advisor will receive a copy of this Financial Exploitation policy to be made aware of their obligation to report any suspicion of financial exploitation to the CCO.</w:t>
      </w:r>
    </w:p>
    <w:p>
      <w:pPr>
        <w:spacing w:after="120" w:line="276" w:lineRule="auto"/>
      </w:pPr>
      <w:r>
        <w:rPr>
          <w:rFonts w:ascii="Arial" w:cs="Arial" w:eastAsia="Arial" w:hAnsi="Arial"/>
          <w:color w:val="1A1A1A"/>
          <w:sz w:val="24"/>
          <w:szCs w:val="24"/>
        </w:rPr>
        <w:t xml:space="preserve">Escalation of Suspected Elder Financial Exploitation: When a supervised person observes or has a reasonable belief that a client is being exploited financially, the supervised person shall document in writing: (a) the name and contact information of the client; (b) the date the supervised person observed or learned of the issue; (c) a description of the issue and parties involved; and (d) any relevant documents detailing the issue. The supervised person shall immediately meet with the CCO or the appropriate delegated authority.</w:t>
      </w:r>
    </w:p>
    <w:p>
      <w:pPr>
        <w:pStyle w:val="Heading2"/>
        <w:keepNext/>
        <w:keepLines/>
        <w:spacing w:after="100" w:before="200"/>
      </w:pPr>
      <w:r>
        <w:rPr>
          <w:rFonts w:ascii="Arial" w:cs="Arial" w:eastAsia="Arial" w:hAnsi="Arial"/>
          <w:b/>
          <w:bCs/>
          <w:color w:val="2E6B9E"/>
          <w:sz w:val="28"/>
          <w:szCs w:val="28"/>
        </w:rPr>
        <w:t xml:space="preserve">Mandatory Reporting Requirement &amp; Transactional Holds (ORC 5101.63 / ORC 1707.49)</w:t>
      </w:r>
    </w:p>
    <w:p>
      <w:pPr>
        <w:spacing w:after="120" w:line="276" w:lineRule="auto"/>
      </w:pPr>
      <w:r>
        <w:rPr>
          <w:rFonts w:ascii="Arial" w:cs="Arial" w:eastAsia="Arial" w:hAnsi="Arial"/>
          <w:color w:val="1A1A1A"/>
          <w:sz w:val="24"/>
          <w:szCs w:val="24"/>
        </w:rPr>
        <w:t xml:space="preserve">In accordance with ORC 5101.63, all supervised persons of BWP are considered mandatory reporters. Any supervised person who has reasonable cause to believe that an adult is being abused, neglected, or exploited must immediately report such belief to the county Department of Job and Family Services (DJFS).</w:t>
      </w:r>
    </w:p>
    <w:p>
      <w:pPr>
        <w:spacing w:after="120" w:line="276" w:lineRule="auto"/>
      </w:pPr>
      <w:r>
        <w:rPr>
          <w:rFonts w:ascii="Arial" w:cs="Arial" w:eastAsia="Arial" w:hAnsi="Arial"/>
          <w:color w:val="1A1A1A"/>
          <w:sz w:val="24"/>
          <w:szCs w:val="24"/>
        </w:rPr>
        <w:t xml:space="preserve">In accordance with ORC 1707.49, if a supervised person has reasonable cause to believe that an eligible adult (age 60+ or otherwise vulnerable) may be subject to financial exploitation, BWP may place a transactional hold on any impacted transaction for up to 15 business days. BWP shall report the hold and the facts leading to the decision to the Ohio Division of Securities and the county DJFS. The hold may be extended for an additional 15 business days if requested by a regulatory agency.</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Power of Attorney and Trusted Contact Form: The Advisor will maintain copies of the Client’s POA documents and the current contact information for the Client’s POA agents. The Advisor will request that clients provide designated trusted points of contact.</w:t>
      </w:r>
    </w:p>
    <w:p>
      <w:pPr>
        <w:pStyle w:val="ListParagraph"/>
        <w:numPr>
          <w:ilvl w:val="0"/>
          <w:numId w:val="1"/>
        </w:numPr>
        <w:spacing w:after="80" w:line="276" w:lineRule="auto"/>
      </w:pPr>
      <w:r>
        <w:rPr>
          <w:rFonts w:ascii="Arial" w:cs="Arial" w:eastAsia="Arial" w:hAnsi="Arial"/>
          <w:color w:val="1A1A1A"/>
          <w:sz w:val="24"/>
          <w:szCs w:val="24"/>
        </w:rPr>
        <w:t xml:space="preserve">Reporting: When the Advisor has reasonable cause to believe or suspect financial exploitation, or when actual knowledge exists, the Advisor may report the situation to the appropriate county DJFS Adult Protective Services Division and the appropriate state securities division.</w:t>
      </w:r>
    </w:p>
    <w:p>
      <w:pPr>
        <w:pStyle w:val="ListParagraph"/>
        <w:numPr>
          <w:ilvl w:val="0"/>
          <w:numId w:val="1"/>
        </w:numPr>
        <w:spacing w:after="80" w:line="276" w:lineRule="auto"/>
      </w:pPr>
      <w:r>
        <w:rPr>
          <w:rFonts w:ascii="Arial" w:cs="Arial" w:eastAsia="Arial" w:hAnsi="Arial"/>
          <w:color w:val="1A1A1A"/>
          <w:sz w:val="24"/>
          <w:szCs w:val="24"/>
        </w:rPr>
        <w:t xml:space="preserve">Disbursements: BWP may place a hold on any transaction impacted by past, current, or attempted financial exploitation for a period not to exceed fifteen business days. BWP will report the hold to the Ohio Division of Securities.</w:t>
      </w:r>
    </w:p>
    <w:p>
      <w:pPr>
        <w:pStyle w:val="Heading1"/>
        <w:keepNext/>
        <w:keepLines/>
        <w:spacing w:after="120" w:before="240"/>
      </w:pPr>
      <w:r>
        <w:rPr>
          <w:rFonts w:ascii="Arial" w:cs="Arial" w:eastAsia="Arial" w:hAnsi="Arial"/>
          <w:b/>
          <w:bCs/>
          <w:color w:val="1B3A5C"/>
          <w:sz w:val="32"/>
          <w:szCs w:val="32"/>
        </w:rPr>
        <w:t xml:space="preserve">Advertising</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Advertising is defined to include: any written communication addressed to more than one person, or any notice or announcement to any publication or by radio, television, or electronic media which offers securities analysis or reports or offers any investment advisory services regarding securities. This broad definition includes standardized forms, form letters, BWP brochures, podcasts or any other materials designed to maintain existing clients or to solicit new clients.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We use advertising and marketing materials to obtain new advisory clients and to maintain existing client relationships. Any advertising and marketing material must be truthful and accurate, consistent with applicable rules, and reviewed and approved by the CCO prior to its distribution.</w:t>
      </w:r>
    </w:p>
    <w:p>
      <w:pPr>
        <w:pStyle w:val="Heading3"/>
        <w:keepNext/>
        <w:keepLines/>
        <w:spacing w:after="80" w:before="160"/>
      </w:pPr>
      <w:r>
        <w:rPr>
          <w:rFonts w:ascii="Arial" w:cs="Arial" w:eastAsia="Arial" w:hAnsi="Arial"/>
          <w:b/>
          <w:bCs/>
          <w:color w:val="1A1A1A"/>
          <w:sz w:val="24"/>
          <w:szCs w:val="24"/>
        </w:rPr>
        <w:t xml:space="preserve">Prohibited Content in Advertisements</w:t>
      </w:r>
    </w:p>
    <w:p>
      <w:pPr>
        <w:spacing w:after="120" w:line="276" w:lineRule="auto"/>
      </w:pPr>
      <w:r>
        <w:rPr>
          <w:rFonts w:ascii="Arial" w:cs="Arial" w:eastAsia="Arial" w:hAnsi="Arial"/>
          <w:color w:val="1A1A1A"/>
          <w:sz w:val="24"/>
          <w:szCs w:val="24"/>
        </w:rPr>
        <w:t xml:space="preserve">Advertisements shall not contain the following:</w:t>
      </w:r>
    </w:p>
    <w:p>
      <w:pPr>
        <w:pStyle w:val="ListParagraph"/>
        <w:numPr>
          <w:ilvl w:val="0"/>
          <w:numId w:val="1"/>
        </w:numPr>
        <w:spacing w:after="80" w:line="276" w:lineRule="auto"/>
      </w:pPr>
      <w:r>
        <w:rPr>
          <w:rFonts w:ascii="Arial" w:cs="Arial" w:eastAsia="Arial" w:hAnsi="Arial"/>
          <w:color w:val="1A1A1A"/>
          <w:sz w:val="24"/>
          <w:szCs w:val="24"/>
        </w:rPr>
        <w:t xml:space="preserve">Any representation that the Advisor or any of its supervised persons have been sponsored, recommended, or approved, or that its abilities or qualifications have been passed upon by any federal or state governmental agency.</w:t>
      </w:r>
    </w:p>
    <w:p>
      <w:pPr>
        <w:pStyle w:val="ListParagraph"/>
        <w:numPr>
          <w:ilvl w:val="0"/>
          <w:numId w:val="1"/>
        </w:numPr>
        <w:spacing w:after="80" w:line="276" w:lineRule="auto"/>
      </w:pPr>
      <w:r>
        <w:rPr>
          <w:rFonts w:ascii="Arial" w:cs="Arial" w:eastAsia="Arial" w:hAnsi="Arial"/>
          <w:color w:val="1A1A1A"/>
          <w:sz w:val="24"/>
          <w:szCs w:val="24"/>
        </w:rPr>
        <w:t xml:space="preserve">Any harassing, discriminatory, pornographic, obscene, violent, defamatory, offensive, derogatory or otherwise unlawful, inappropriate or unprofessional images or materials.</w:t>
      </w:r>
    </w:p>
    <w:p>
      <w:pPr>
        <w:pStyle w:val="Heading2"/>
        <w:keepNext/>
        <w:keepLines/>
        <w:spacing w:after="100" w:before="200"/>
      </w:pPr>
      <w:r>
        <w:rPr>
          <w:rFonts w:ascii="Arial" w:cs="Arial" w:eastAsia="Arial" w:hAnsi="Arial"/>
          <w:b/>
          <w:bCs/>
          <w:color w:val="2E6B9E"/>
          <w:sz w:val="28"/>
          <w:szCs w:val="28"/>
        </w:rPr>
        <w:t xml:space="preserve">Testimonials — Prohibition (OAC 1301:6-3-44(A)(1)(a))</w:t>
      </w:r>
    </w:p>
    <w:p>
      <w:pPr>
        <w:spacing w:after="120" w:line="276" w:lineRule="auto"/>
      </w:pPr>
      <w:r>
        <w:rPr>
          <w:rFonts w:ascii="Arial" w:cs="Arial" w:eastAsia="Arial" w:hAnsi="Arial"/>
          <w:color w:val="1A1A1A"/>
          <w:sz w:val="24"/>
          <w:szCs w:val="24"/>
        </w:rPr>
        <w:t xml:space="preserve">Testimonials — defined as any statement from a current or former client about their experience with BWP or any representative — are PROHIBITED IN ALL CIRCUMSTANCES under Ohio law (OAC 1301:6-3-44(A)(1)(a)). No advertisement may contain or reference any client testimonial, regardless of conditions or disclosures. This prohibition is broader than the federal SEC Marketing Rule; BWP is governed by Ohio’s stricter outright prohibition.</w:t>
      </w:r>
    </w:p>
    <w:p>
      <w:pPr>
        <w:pStyle w:val="Heading2"/>
        <w:keepNext/>
        <w:keepLines/>
        <w:spacing w:after="100" w:before="200"/>
      </w:pPr>
      <w:r>
        <w:rPr>
          <w:rFonts w:ascii="Arial" w:cs="Arial" w:eastAsia="Arial" w:hAnsi="Arial"/>
          <w:b/>
          <w:bCs/>
          <w:color w:val="2E6B9E"/>
          <w:sz w:val="28"/>
          <w:szCs w:val="28"/>
        </w:rPr>
        <w:t xml:space="preserve">Client Lists</w:t>
      </w:r>
    </w:p>
    <w:p>
      <w:pPr>
        <w:spacing w:after="120" w:line="276" w:lineRule="auto"/>
      </w:pPr>
      <w:r>
        <w:rPr>
          <w:rFonts w:ascii="Arial" w:cs="Arial" w:eastAsia="Arial" w:hAnsi="Arial"/>
          <w:color w:val="1A1A1A"/>
          <w:sz w:val="24"/>
          <w:szCs w:val="24"/>
        </w:rPr>
        <w:t xml:space="preserve">Representative client lists may be used only if ALL of the following conditions are met:</w:t>
      </w:r>
    </w:p>
    <w:p>
      <w:pPr>
        <w:pStyle w:val="ListParagraph"/>
        <w:numPr>
          <w:ilvl w:val="0"/>
          <w:numId w:val="1"/>
        </w:numPr>
        <w:spacing w:after="80" w:line="276" w:lineRule="auto"/>
      </w:pPr>
      <w:r>
        <w:rPr>
          <w:rFonts w:ascii="Arial" w:cs="Arial" w:eastAsia="Arial" w:hAnsi="Arial"/>
          <w:color w:val="1A1A1A"/>
          <w:sz w:val="24"/>
          <w:szCs w:val="24"/>
        </w:rPr>
        <w:t xml:space="preserve">Each client to be named has consented to the Advisor’s use of their name in the advertisement.</w:t>
      </w:r>
    </w:p>
    <w:p>
      <w:pPr>
        <w:pStyle w:val="ListParagraph"/>
        <w:numPr>
          <w:ilvl w:val="0"/>
          <w:numId w:val="1"/>
        </w:numPr>
        <w:spacing w:after="80" w:line="276" w:lineRule="auto"/>
      </w:pPr>
      <w:r>
        <w:rPr>
          <w:rFonts w:ascii="Arial" w:cs="Arial" w:eastAsia="Arial" w:hAnsi="Arial"/>
          <w:color w:val="1A1A1A"/>
          <w:sz w:val="24"/>
          <w:szCs w:val="24"/>
        </w:rPr>
        <w:t xml:space="preserve">Advisor does not use performance-based data to determine which clients to include on the list.</w:t>
      </w:r>
    </w:p>
    <w:p>
      <w:pPr>
        <w:pStyle w:val="ListParagraph"/>
        <w:numPr>
          <w:ilvl w:val="0"/>
          <w:numId w:val="1"/>
        </w:numPr>
        <w:spacing w:after="80" w:line="276" w:lineRule="auto"/>
      </w:pPr>
      <w:r>
        <w:rPr>
          <w:rFonts w:ascii="Arial" w:cs="Arial" w:eastAsia="Arial" w:hAnsi="Arial"/>
          <w:color w:val="1A1A1A"/>
          <w:sz w:val="24"/>
          <w:szCs w:val="24"/>
        </w:rPr>
        <w:t xml:space="preserve">Each list includes a disclaimer to the effect that "it is not known whether the listed clients approve or disapprove of the Advisor or the advisory services provided."</w:t>
      </w:r>
    </w:p>
    <w:p>
      <w:pPr>
        <w:pStyle w:val="ListParagraph"/>
        <w:numPr>
          <w:ilvl w:val="0"/>
          <w:numId w:val="1"/>
        </w:numPr>
        <w:spacing w:after="80" w:line="276" w:lineRule="auto"/>
      </w:pPr>
      <w:r>
        <w:rPr>
          <w:rFonts w:ascii="Arial" w:cs="Arial" w:eastAsia="Arial" w:hAnsi="Arial"/>
          <w:color w:val="1A1A1A"/>
          <w:sz w:val="24"/>
          <w:szCs w:val="24"/>
        </w:rPr>
        <w:t xml:space="preserve">Each list includes a disclosure about the objective criteria used to determine which clients were included on the list.</w:t>
      </w:r>
    </w:p>
    <w:p>
      <w:pPr>
        <w:pStyle w:val="Heading3"/>
        <w:keepNext/>
        <w:keepLines/>
        <w:spacing w:after="80" w:before="160"/>
      </w:pPr>
      <w:r>
        <w:rPr>
          <w:rFonts w:ascii="Arial" w:cs="Arial" w:eastAsia="Arial" w:hAnsi="Arial"/>
          <w:b/>
          <w:bCs/>
          <w:color w:val="1A1A1A"/>
          <w:sz w:val="24"/>
          <w:szCs w:val="24"/>
        </w:rPr>
        <w:t xml:space="preserve">Additional Prohibited Content (continued)</w:t>
      </w:r>
    </w:p>
    <w:p>
      <w:pPr>
        <w:pStyle w:val="ListParagraph"/>
        <w:numPr>
          <w:ilvl w:val="0"/>
          <w:numId w:val="1"/>
        </w:numPr>
        <w:spacing w:after="80" w:line="276" w:lineRule="auto"/>
      </w:pPr>
      <w:r>
        <w:rPr>
          <w:rFonts w:ascii="Arial" w:cs="Arial" w:eastAsia="Arial" w:hAnsi="Arial"/>
          <w:color w:val="1A1A1A"/>
          <w:sz w:val="24"/>
          <w:szCs w:val="24"/>
        </w:rPr>
        <w:t xml:space="preserve">References whether directly or indirectly to past specific recommendations, unless the advertisement sets out a list of all recommendations made by BWP within at least the prior one-year period.</w:t>
      </w:r>
    </w:p>
    <w:p>
      <w:pPr>
        <w:pStyle w:val="ListParagraph"/>
        <w:numPr>
          <w:ilvl w:val="0"/>
          <w:numId w:val="1"/>
        </w:numPr>
        <w:spacing w:after="80" w:line="276" w:lineRule="auto"/>
      </w:pPr>
      <w:r>
        <w:rPr>
          <w:rFonts w:ascii="Arial" w:cs="Arial" w:eastAsia="Arial" w:hAnsi="Arial"/>
          <w:color w:val="1A1A1A"/>
          <w:sz w:val="24"/>
          <w:szCs w:val="24"/>
        </w:rPr>
        <w:t xml:space="preserve">Any graph, chart, formula, or other device that can, by itself, guide the investor as to what securities to buy or sell without prominently disclosing the limitations and difficulties regarding its use.</w:t>
      </w:r>
    </w:p>
    <w:p>
      <w:pPr>
        <w:pStyle w:val="ListParagraph"/>
        <w:numPr>
          <w:ilvl w:val="0"/>
          <w:numId w:val="1"/>
        </w:numPr>
        <w:spacing w:after="80" w:line="276" w:lineRule="auto"/>
      </w:pPr>
      <w:r>
        <w:rPr>
          <w:rFonts w:ascii="Arial" w:cs="Arial" w:eastAsia="Arial" w:hAnsi="Arial"/>
          <w:color w:val="1A1A1A"/>
          <w:sz w:val="24"/>
          <w:szCs w:val="24"/>
        </w:rPr>
        <w:t xml:space="preserve">Any statement to the effect that any report, analysis, or other service will be furnished free or without charge, unless such report, analysis or other service actually is or will be furnished entirely free and without any condition or obligation, directly or indirectly.</w:t>
      </w:r>
    </w:p>
    <w:p>
      <w:pPr>
        <w:pStyle w:val="ListParagraph"/>
        <w:numPr>
          <w:ilvl w:val="0"/>
          <w:numId w:val="1"/>
        </w:numPr>
        <w:spacing w:after="80" w:line="276" w:lineRule="auto"/>
      </w:pPr>
      <w:r>
        <w:rPr>
          <w:rFonts w:ascii="Arial" w:cs="Arial" w:eastAsia="Arial" w:hAnsi="Arial"/>
          <w:color w:val="1A1A1A"/>
          <w:sz w:val="24"/>
          <w:szCs w:val="24"/>
        </w:rPr>
        <w:t xml:space="preserve">Any untrue statement of a material fact, or any statement that is otherwise false or misleading.</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Supervised persons are responsible for creating the advertising and marketing material and submitting to the CCO for review. The CCO is responsible for reviewing, editing, and approving/denying submitted marketing material and documenting such approvals.</w:t>
      </w:r>
    </w:p>
    <w:p>
      <w:pPr>
        <w:pStyle w:val="ListParagraph"/>
        <w:numPr>
          <w:ilvl w:val="0"/>
          <w:numId w:val="1"/>
        </w:numPr>
        <w:spacing w:after="80" w:line="276" w:lineRule="auto"/>
      </w:pPr>
      <w:r>
        <w:rPr>
          <w:rFonts w:ascii="Arial" w:cs="Arial" w:eastAsia="Arial" w:hAnsi="Arial"/>
          <w:color w:val="1A1A1A"/>
          <w:sz w:val="24"/>
          <w:szCs w:val="24"/>
        </w:rPr>
        <w:t xml:space="preserve">The CCO may remove posts or comments in its advertisements from third parties deemed harassing, discriminatory, pornographic, obscene, violent, defamatory, offensive, derogatory or otherwise unlawful, inappropriate or unprofessional.</w:t>
      </w:r>
    </w:p>
    <w:p>
      <w:pPr>
        <w:pStyle w:val="ListParagraph"/>
        <w:numPr>
          <w:ilvl w:val="0"/>
          <w:numId w:val="1"/>
        </w:numPr>
        <w:spacing w:after="80" w:line="276" w:lineRule="auto"/>
      </w:pPr>
      <w:r>
        <w:rPr>
          <w:rFonts w:ascii="Arial" w:cs="Arial" w:eastAsia="Arial" w:hAnsi="Arial"/>
          <w:color w:val="1A1A1A"/>
          <w:sz w:val="24"/>
          <w:szCs w:val="24"/>
        </w:rPr>
        <w:t xml:space="preserve">The CCO will maintain copies of any advertising and marketing materials, including reviews and approvals, for the required retention period.</w:t>
      </w:r>
    </w:p>
    <w:p>
      <w:pPr>
        <w:pStyle w:val="Heading2"/>
        <w:keepNext/>
        <w:keepLines/>
        <w:spacing w:after="100" w:before="200"/>
      </w:pPr>
      <w:r>
        <w:rPr>
          <w:rFonts w:ascii="Arial" w:cs="Arial" w:eastAsia="Arial" w:hAnsi="Arial"/>
          <w:b/>
          <w:bCs/>
          <w:color w:val="2E6B9E"/>
          <w:sz w:val="28"/>
          <w:szCs w:val="28"/>
        </w:rPr>
        <w:t xml:space="preserve">Professional Designations and Other Terms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Advisor prohibits the use of certain terms in any advertisement:</w:t>
      </w:r>
    </w:p>
    <w:p>
      <w:pPr>
        <w:pStyle w:val="ListParagraph"/>
        <w:numPr>
          <w:ilvl w:val="0"/>
          <w:numId w:val="1"/>
        </w:numPr>
        <w:spacing w:after="80" w:line="276" w:lineRule="auto"/>
      </w:pPr>
      <w:r>
        <w:rPr>
          <w:rFonts w:ascii="Arial" w:cs="Arial" w:eastAsia="Arial" w:hAnsi="Arial"/>
          <w:color w:val="1A1A1A"/>
          <w:sz w:val="24"/>
          <w:szCs w:val="24"/>
        </w:rPr>
        <w:t xml:space="preserve">The initials "RIA" shall not be used after BWP’s name to indicate or imply some form of professional designation.</w:t>
      </w:r>
    </w:p>
    <w:p>
      <w:pPr>
        <w:pStyle w:val="ListParagraph"/>
        <w:numPr>
          <w:ilvl w:val="0"/>
          <w:numId w:val="1"/>
        </w:numPr>
        <w:spacing w:after="80" w:line="276" w:lineRule="auto"/>
      </w:pPr>
      <w:r>
        <w:rPr>
          <w:rFonts w:ascii="Arial" w:cs="Arial" w:eastAsia="Arial" w:hAnsi="Arial"/>
          <w:color w:val="1A1A1A"/>
          <w:sz w:val="24"/>
          <w:szCs w:val="24"/>
        </w:rPr>
        <w:t xml:space="preserve">Unless organized as a sole proprietor, individuals are not to be referred to as a "registered investment adviser."</w:t>
      </w:r>
    </w:p>
    <w:p>
      <w:pPr>
        <w:pStyle w:val="ListParagraph"/>
        <w:numPr>
          <w:ilvl w:val="0"/>
          <w:numId w:val="1"/>
        </w:numPr>
        <w:spacing w:after="80" w:line="276" w:lineRule="auto"/>
      </w:pPr>
      <w:r>
        <w:rPr>
          <w:rFonts w:ascii="Arial" w:cs="Arial" w:eastAsia="Arial" w:hAnsi="Arial"/>
          <w:color w:val="1A1A1A"/>
          <w:sz w:val="24"/>
          <w:szCs w:val="24"/>
        </w:rPr>
        <w:t xml:space="preserve">The use of "senior" designations implying special certification or training in advising senior citizens or retirees is prohibited.</w:t>
      </w:r>
    </w:p>
    <w:p>
      <w:pPr>
        <w:pStyle w:val="ListParagraph"/>
        <w:numPr>
          <w:ilvl w:val="0"/>
          <w:numId w:val="1"/>
        </w:numPr>
        <w:spacing w:after="80" w:line="276" w:lineRule="auto"/>
      </w:pPr>
      <w:r>
        <w:rPr>
          <w:rFonts w:ascii="Arial" w:cs="Arial" w:eastAsia="Arial" w:hAnsi="Arial"/>
          <w:color w:val="1A1A1A"/>
          <w:sz w:val="24"/>
          <w:szCs w:val="24"/>
        </w:rPr>
        <w:t xml:space="preserve">The use of a certification or professional designation by a person who has not actually earned or is otherwise ineligible to use such certification or designation.</w:t>
      </w:r>
    </w:p>
    <w:p>
      <w:pPr>
        <w:pStyle w:val="ListParagraph"/>
        <w:numPr>
          <w:ilvl w:val="0"/>
          <w:numId w:val="1"/>
        </w:numPr>
        <w:spacing w:after="80" w:line="276" w:lineRule="auto"/>
      </w:pPr>
      <w:r>
        <w:rPr>
          <w:rFonts w:ascii="Arial" w:cs="Arial" w:eastAsia="Arial" w:hAnsi="Arial"/>
          <w:color w:val="1A1A1A"/>
          <w:sz w:val="24"/>
          <w:szCs w:val="24"/>
        </w:rPr>
        <w:t xml:space="preserve">The use of a nonexistent or self-conferred certification or professional designation.</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Supervised persons must obtain approval by the CCO to advertise their designation in any capacity including: email signature, social media (LinkedIn), business cards, website, or on disclosure brochures.</w:t>
      </w:r>
    </w:p>
    <w:p>
      <w:pPr>
        <w:pStyle w:val="ListParagraph"/>
        <w:numPr>
          <w:ilvl w:val="0"/>
          <w:numId w:val="1"/>
        </w:numPr>
        <w:spacing w:after="80" w:line="276" w:lineRule="auto"/>
      </w:pPr>
      <w:r>
        <w:rPr>
          <w:rFonts w:ascii="Arial" w:cs="Arial" w:eastAsia="Arial" w:hAnsi="Arial"/>
          <w:color w:val="1A1A1A"/>
          <w:sz w:val="24"/>
          <w:szCs w:val="24"/>
        </w:rPr>
        <w:t xml:space="preserve">Any professional designations advertised by IARs must have an explanation of the minimum qualifications required for each designation in the IAR’s Form ADV Part 2B, Item 2.</w:t>
      </w:r>
    </w:p>
    <w:p>
      <w:pPr>
        <w:pStyle w:val="ListParagraph"/>
        <w:numPr>
          <w:ilvl w:val="0"/>
          <w:numId w:val="1"/>
        </w:numPr>
        <w:spacing w:after="80" w:line="276" w:lineRule="auto"/>
      </w:pPr>
      <w:r>
        <w:rPr>
          <w:rFonts w:ascii="Arial" w:cs="Arial" w:eastAsia="Arial" w:hAnsi="Arial"/>
          <w:color w:val="1A1A1A"/>
          <w:sz w:val="24"/>
          <w:szCs w:val="24"/>
        </w:rPr>
        <w:t xml:space="preserve">On an annual basis, the CCO shall ensure that any continued education is completed and annual fees are paid in order to keep all professional designations in good standing.</w:t>
      </w:r>
    </w:p>
    <w:p>
      <w:pPr>
        <w:pStyle w:val="Heading2"/>
        <w:keepNext/>
        <w:keepLines/>
        <w:spacing w:after="100" w:before="200"/>
      </w:pPr>
      <w:r>
        <w:rPr>
          <w:rFonts w:ascii="Arial" w:cs="Arial" w:eastAsia="Arial" w:hAnsi="Arial"/>
          <w:b/>
          <w:bCs/>
          <w:color w:val="2E6B9E"/>
          <w:sz w:val="28"/>
          <w:szCs w:val="28"/>
        </w:rPr>
        <w:t xml:space="preserve">Performance Advertising</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Although performance data is not required to be disclosed as part of an advertisement, if it is in fact used, the information must be presented accurately and fairly.</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When including either model or actual performance data in an advertisement, specific disclosures shall be made including: the effect of material market or economic conditions; all advisory fees, brokerage commissions or other client paid expenses; the extent that performance was influenced by the reinvestment of dividends; all material relevant factors when comparing results to an index; and the potential for loss where profit potential is discussed. Where only model performance factors are used, additional disclosures are required.</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All advertisements must reflect the deduction of advisory fees, brokerage commissions and other client paid expenses, with limited exceptions.</w:t>
      </w:r>
    </w:p>
    <w:p>
      <w:pPr>
        <w:pStyle w:val="ListParagraph"/>
        <w:numPr>
          <w:ilvl w:val="0"/>
          <w:numId w:val="1"/>
        </w:numPr>
        <w:spacing w:after="80" w:line="276" w:lineRule="auto"/>
      </w:pPr>
      <w:r>
        <w:rPr>
          <w:rFonts w:ascii="Arial" w:cs="Arial" w:eastAsia="Arial" w:hAnsi="Arial"/>
          <w:color w:val="1A1A1A"/>
          <w:sz w:val="24"/>
          <w:szCs w:val="24"/>
        </w:rPr>
        <w:t xml:space="preserve">The CCO must review and approve all performance advertising of the firm and maintain supporting documentation for the required retention period.</w:t>
      </w:r>
    </w:p>
    <w:p>
      <w:pPr>
        <w:pStyle w:val="Heading2"/>
        <w:keepNext/>
        <w:keepLines/>
        <w:spacing w:after="100" w:before="200"/>
      </w:pPr>
      <w:r>
        <w:rPr>
          <w:rFonts w:ascii="Arial" w:cs="Arial" w:eastAsia="Arial" w:hAnsi="Arial"/>
          <w:b/>
          <w:bCs/>
          <w:color w:val="2E6B9E"/>
          <w:sz w:val="28"/>
          <w:szCs w:val="28"/>
        </w:rPr>
        <w:t xml:space="preserve">Media Relations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In order to stay compliant, supervised persons must: not make any untrue statements of material fact or any misleading statements; not refer directly or indirectly to any client testimonial of any kind regarding our firm; when discussing investment strategies, do so in general terms; not discuss portfolio holdings that BWP intends to sell or purchase without CCO approval; not discuss BWP clients or any information deemed confidential; and not discuss regulatory actions, litigation or investigations without CCO and counsel approval.</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No staff member may speak to any member of the media/press regarding any issue related to the firm or to the financial markets without express written consent from the CCO.</w:t>
      </w:r>
    </w:p>
    <w:p>
      <w:pPr>
        <w:pStyle w:val="ListParagraph"/>
        <w:numPr>
          <w:ilvl w:val="0"/>
          <w:numId w:val="1"/>
        </w:numPr>
        <w:spacing w:after="80" w:line="276" w:lineRule="auto"/>
      </w:pPr>
      <w:r>
        <w:rPr>
          <w:rFonts w:ascii="Arial" w:cs="Arial" w:eastAsia="Arial" w:hAnsi="Arial"/>
          <w:color w:val="1A1A1A"/>
          <w:sz w:val="24"/>
          <w:szCs w:val="24"/>
        </w:rPr>
        <w:t xml:space="preserve">If supervised persons receive any inquiry of any type from the media/press, supervised persons are required to notify the CCO immediately.</w:t>
      </w:r>
    </w:p>
    <w:p>
      <w:pPr>
        <w:pStyle w:val="ListParagraph"/>
        <w:numPr>
          <w:ilvl w:val="0"/>
          <w:numId w:val="1"/>
        </w:numPr>
        <w:spacing w:after="80" w:line="276" w:lineRule="auto"/>
      </w:pPr>
      <w:r>
        <w:rPr>
          <w:rFonts w:ascii="Arial" w:cs="Arial" w:eastAsia="Arial" w:hAnsi="Arial"/>
          <w:color w:val="1A1A1A"/>
          <w:sz w:val="24"/>
          <w:szCs w:val="24"/>
        </w:rPr>
        <w:t xml:space="preserve">Any scripts must be approved by the CCO prior to use. Records of recordings, transcriptions, scripts, or other written correspondence must be retained for the required retention period.</w:t>
      </w:r>
    </w:p>
    <w:p>
      <w:pPr>
        <w:pStyle w:val="Heading2"/>
        <w:keepNext/>
        <w:keepLines/>
        <w:spacing w:after="100" w:before="200"/>
      </w:pPr>
      <w:r>
        <w:rPr>
          <w:rFonts w:ascii="Arial" w:cs="Arial" w:eastAsia="Arial" w:hAnsi="Arial"/>
          <w:b/>
          <w:bCs/>
          <w:color w:val="2E6B9E"/>
          <w:sz w:val="28"/>
          <w:szCs w:val="28"/>
        </w:rPr>
        <w:t xml:space="preserve">Social Media</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As a form of advertising, advisers increasingly use social media to promote their services or to interact with existing and prospective clients.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Supervised persons are not permitted to divulge BWP’s name or their position on social networking sites, or transmit any BWP-related material via social networking sites without CCO approval. All social media use for business purposes must comply with the Advertising policy contained herein.</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BWP’s CCO must approve all use of social media handles for business purposes.</w:t>
      </w:r>
    </w:p>
    <w:p>
      <w:pPr>
        <w:pStyle w:val="ListParagraph"/>
        <w:numPr>
          <w:ilvl w:val="0"/>
          <w:numId w:val="1"/>
        </w:numPr>
        <w:spacing w:after="80" w:line="276" w:lineRule="auto"/>
      </w:pPr>
      <w:r>
        <w:rPr>
          <w:rFonts w:ascii="Arial" w:cs="Arial" w:eastAsia="Arial" w:hAnsi="Arial"/>
          <w:color w:val="1A1A1A"/>
          <w:sz w:val="24"/>
          <w:szCs w:val="24"/>
        </w:rPr>
        <w:t xml:space="preserve">The CCO is responsible for conducting at least annual reviews to monitor the Firm’s Social Media for compliance with our policies.</w:t>
      </w:r>
    </w:p>
    <w:p>
      <w:pPr>
        <w:pStyle w:val="ListParagraph"/>
        <w:numPr>
          <w:ilvl w:val="0"/>
          <w:numId w:val="1"/>
        </w:numPr>
        <w:spacing w:after="80" w:line="276" w:lineRule="auto"/>
      </w:pPr>
      <w:r>
        <w:rPr>
          <w:rFonts w:ascii="Arial" w:cs="Arial" w:eastAsia="Arial" w:hAnsi="Arial"/>
          <w:color w:val="1A1A1A"/>
          <w:sz w:val="24"/>
          <w:szCs w:val="24"/>
        </w:rPr>
        <w:t xml:space="preserve">All social media is archived for the required retention period.</w:t>
      </w:r>
    </w:p>
    <w:p>
      <w:pPr>
        <w:pStyle w:val="Heading1"/>
        <w:keepNext/>
        <w:keepLines/>
        <w:spacing w:after="120" w:before="240"/>
      </w:pPr>
      <w:r>
        <w:rPr>
          <w:rFonts w:ascii="Arial" w:cs="Arial" w:eastAsia="Arial" w:hAnsi="Arial"/>
          <w:b/>
          <w:bCs/>
          <w:color w:val="1B3A5C"/>
          <w:sz w:val="32"/>
          <w:szCs w:val="32"/>
        </w:rPr>
        <w:t xml:space="preserve">Regulatory Filings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We may be subject to the reporting requirements under certain provisions of the Securities Exchange Act of 1934 and the Securities Act of 1933, including filing duties under Section 13(d), 13(g), 13(h), and Section 16.</w:t>
      </w:r>
    </w:p>
    <w:p>
      <w:pPr>
        <w:spacing w:after="120" w:line="276" w:lineRule="auto"/>
      </w:pPr>
      <w:r>
        <w:rPr>
          <w:rFonts w:ascii="Arial" w:cs="Arial" w:eastAsia="Arial" w:hAnsi="Arial"/>
          <w:color w:val="1A1A1A"/>
          <w:sz w:val="24"/>
          <w:szCs w:val="24"/>
        </w:rPr>
        <w:t xml:space="preserve">Section 13(d): Requires a Beneficial Owner of more than five (5) percent of a class of publicly traded equity securities to file a report with the issuer, the SEC and those national securities exchanges where the securities trade within ten (10) days of the transaction.</w:t>
      </w:r>
    </w:p>
    <w:p>
      <w:pPr>
        <w:spacing w:after="120" w:line="276" w:lineRule="auto"/>
      </w:pPr>
      <w:r>
        <w:rPr>
          <w:rFonts w:ascii="Arial" w:cs="Arial" w:eastAsia="Arial" w:hAnsi="Arial"/>
          <w:color w:val="1A1A1A"/>
          <w:sz w:val="24"/>
          <w:szCs w:val="24"/>
        </w:rPr>
        <w:t xml:space="preserve">Section 13(g): Provides an alternative beneficial ownership reporting scheme for acquisitions by certain investment advisers and other institutional or passive investors when their beneficial ownership of a company’s outstanding stock exceeds five (5) percent.</w:t>
      </w:r>
    </w:p>
    <w:p>
      <w:pPr>
        <w:spacing w:after="120" w:line="276" w:lineRule="auto"/>
      </w:pPr>
      <w:r>
        <w:rPr>
          <w:rFonts w:ascii="Arial" w:cs="Arial" w:eastAsia="Arial" w:hAnsi="Arial"/>
          <w:color w:val="1A1A1A"/>
          <w:sz w:val="24"/>
          <w:szCs w:val="24"/>
        </w:rPr>
        <w:t xml:space="preserve">Section 13(h): Requires market participants that are considered “large traders” to identify themselves to the SEC and make certain disclosures on Form 13H.</w:t>
      </w:r>
    </w:p>
    <w:p>
      <w:pPr>
        <w:spacing w:after="120" w:line="276" w:lineRule="auto"/>
      </w:pPr>
      <w:r>
        <w:rPr>
          <w:rFonts w:ascii="Arial" w:cs="Arial" w:eastAsia="Arial" w:hAnsi="Arial"/>
          <w:color w:val="1A1A1A"/>
          <w:sz w:val="24"/>
          <w:szCs w:val="24"/>
        </w:rPr>
        <w:t xml:space="preserve">Section 16: Directors, officers, and greater than ten (10) percent owners of publicly held companies may be required to file certain disclosure reports and may be subject to disgorgement of profits from purchases or sales of such equity securities within any six-month period.</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If applicable, any regulatory filings for our firm are to be completed accurately and within regulatory time frame requirements. Additionally, we will monitor, on an ongoing and periodic basis, any regulatory filings or other matters that may require amendment or additional filings with the SEC and/or any states for BWP and our representatives.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CCO shall review the above filings to assess if they are applicable to the firm or any of our representatives.</w:t>
      </w:r>
    </w:p>
    <w:p>
      <w:pPr>
        <w:pStyle w:val="Heading1"/>
        <w:keepNext/>
        <w:keepLines/>
        <w:spacing w:after="120" w:before="240"/>
      </w:pPr>
      <w:r>
        <w:rPr>
          <w:rFonts w:ascii="Arial" w:cs="Arial" w:eastAsia="Arial" w:hAnsi="Arial"/>
          <w:b/>
          <w:bCs/>
          <w:color w:val="1B3A5C"/>
          <w:sz w:val="32"/>
          <w:szCs w:val="32"/>
        </w:rPr>
        <w:t xml:space="preserve">Portfolio Management</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Registered Investment Advisers are fiduciaries and therefore must act in the Client’s best interest when offering personalized investment advice. The fiduciary duties include the provision of advice that is suitable for the client, full disclosure of all material facts and conflicts of interest, utmost and exclusive loyalty and good faith, best execution of client transactions, and the exercise of reasonable care to avoid misleading clients.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Prior to providing personalized investment advice, BWP will obtain and assess client information in order to make suitable recommendations.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At the commencement of an advisory relationship, BWP will document the client’s current financial situation including: investment objectives, risk tolerance, cash flow, available assets, among other factors the Advisor deems relevant. This information shall be updated as material changes occur in the client’s financial situation, but no less than every 36 months.</w:t>
      </w:r>
    </w:p>
    <w:p>
      <w:pPr>
        <w:pStyle w:val="ListParagraph"/>
        <w:numPr>
          <w:ilvl w:val="0"/>
          <w:numId w:val="1"/>
        </w:numPr>
        <w:spacing w:after="80" w:line="276" w:lineRule="auto"/>
      </w:pPr>
      <w:r>
        <w:rPr>
          <w:rFonts w:ascii="Arial" w:cs="Arial" w:eastAsia="Arial" w:hAnsi="Arial"/>
          <w:color w:val="1A1A1A"/>
          <w:sz w:val="24"/>
          <w:szCs w:val="24"/>
        </w:rPr>
        <w:t xml:space="preserve">Clients may impose reasonable investment restrictions on their account, provided the client makes the request in writing and subject to Advisor’s approval. BWP shall maintain documentation of any investment restrictions and review client accounts to ensure those restrictions are adhered to.</w:t>
      </w:r>
    </w:p>
    <w:p>
      <w:pPr>
        <w:pStyle w:val="ListParagraph"/>
        <w:numPr>
          <w:ilvl w:val="0"/>
          <w:numId w:val="1"/>
        </w:numPr>
        <w:spacing w:after="80" w:line="276" w:lineRule="auto"/>
      </w:pPr>
      <w:r>
        <w:rPr>
          <w:rFonts w:ascii="Arial" w:cs="Arial" w:eastAsia="Arial" w:hAnsi="Arial"/>
          <w:color w:val="1A1A1A"/>
          <w:sz w:val="24"/>
          <w:szCs w:val="24"/>
        </w:rPr>
        <w:t xml:space="preserve">The CCO is responsible for reviewing client accounts on a regular basis to detect trading irregularities, unauthorized holdings or positions, and that investment strategy remains suitable for the client.</w:t>
      </w:r>
    </w:p>
    <w:p>
      <w:pPr>
        <w:pStyle w:val="ListParagraph"/>
        <w:numPr>
          <w:ilvl w:val="0"/>
          <w:numId w:val="1"/>
        </w:numPr>
        <w:spacing w:after="80" w:line="276" w:lineRule="auto"/>
      </w:pPr>
      <w:r>
        <w:rPr>
          <w:rFonts w:ascii="Arial" w:cs="Arial" w:eastAsia="Arial" w:hAnsi="Arial"/>
          <w:color w:val="1A1A1A"/>
          <w:sz w:val="24"/>
          <w:szCs w:val="24"/>
        </w:rPr>
        <w:t xml:space="preserve">Additional as-needed reviews may be conducted due to unusual performance, addition or deletions of client restrictions, excessive draw-down, volatility in performance, or buy and sell decisions from BWP or per client needs.</w:t>
      </w:r>
    </w:p>
    <w:p>
      <w:pPr>
        <w:pStyle w:val="ListParagraph"/>
        <w:numPr>
          <w:ilvl w:val="0"/>
          <w:numId w:val="1"/>
        </w:numPr>
        <w:spacing w:after="80" w:line="276" w:lineRule="auto"/>
      </w:pPr>
      <w:r>
        <w:rPr>
          <w:rFonts w:ascii="Arial" w:cs="Arial" w:eastAsia="Arial" w:hAnsi="Arial"/>
          <w:color w:val="1A1A1A"/>
          <w:sz w:val="24"/>
          <w:szCs w:val="24"/>
        </w:rPr>
        <w:t xml:space="preserve">On at least an annual basis, BWP will offer to meet with clients (either via telephone, video conference, or in-person) and note any changes to their financial situation.</w:t>
      </w:r>
    </w:p>
    <w:p>
      <w:pPr>
        <w:pStyle w:val="ListParagraph"/>
        <w:numPr>
          <w:ilvl w:val="0"/>
          <w:numId w:val="1"/>
        </w:numPr>
        <w:spacing w:after="80" w:line="276" w:lineRule="auto"/>
      </w:pPr>
      <w:r>
        <w:rPr>
          <w:rFonts w:ascii="Arial" w:cs="Arial" w:eastAsia="Arial" w:hAnsi="Arial"/>
          <w:color w:val="1A1A1A"/>
          <w:sz w:val="24"/>
          <w:szCs w:val="24"/>
        </w:rPr>
        <w:t xml:space="preserve">BWP sends an annual performance report to clients that contains a summary of client holdings, gains, losses, among other information.</w:t>
      </w:r>
    </w:p>
    <w:p>
      <w:pPr>
        <w:pStyle w:val="ListParagraph"/>
        <w:numPr>
          <w:ilvl w:val="0"/>
          <w:numId w:val="1"/>
        </w:numPr>
        <w:spacing w:after="80" w:line="276" w:lineRule="auto"/>
      </w:pPr>
      <w:r>
        <w:rPr>
          <w:rFonts w:ascii="Arial" w:cs="Arial" w:eastAsia="Arial" w:hAnsi="Arial"/>
          <w:color w:val="1A1A1A"/>
          <w:sz w:val="24"/>
          <w:szCs w:val="24"/>
        </w:rPr>
        <w:t xml:space="preserve">BWP requires all clients to utilize our recommended custodians (Altruist Financial, LLC and Goldman Sachs Custody Solutions). Clients are not allowed to direct brokerage.</w:t>
      </w:r>
    </w:p>
    <w:p>
      <w:pPr>
        <w:pStyle w:val="ListParagraph"/>
        <w:numPr>
          <w:ilvl w:val="0"/>
          <w:numId w:val="1"/>
        </w:numPr>
        <w:spacing w:after="80" w:line="276" w:lineRule="auto"/>
      </w:pPr>
      <w:r>
        <w:rPr>
          <w:rFonts w:ascii="Arial" w:cs="Arial" w:eastAsia="Arial" w:hAnsi="Arial"/>
          <w:color w:val="1A1A1A"/>
          <w:sz w:val="24"/>
          <w:szCs w:val="24"/>
        </w:rPr>
        <w:t xml:space="preserve">BWP does not have any soft-dollar arrangements with broker-dealers. Custodians may provide certain services that may benefit BWP; such economic benefits will be fully disclosed in Item 12 of Form ADV Part 2A.</w:t>
      </w:r>
    </w:p>
    <w:p>
      <w:pPr>
        <w:spacing w:after="120" w:line="276" w:lineRule="auto"/>
      </w:pPr>
      <w:r>
        <w:rPr>
          <w:rFonts w:ascii="Arial" w:cs="Arial" w:eastAsia="Arial" w:hAnsi="Arial"/>
          <w:color w:val="1A1A1A"/>
          <w:sz w:val="24"/>
          <w:szCs w:val="24"/>
        </w:rPr>
        <w:t xml:space="preserve">Recordkeeping Note: See Books and Records, Client Recommendations (OAC 1301:6-3-15.1(E)(1)(t)) for the written documentation requirement applicable to investment recommendations made for each client account.</w:t>
      </w:r>
    </w:p>
    <w:p>
      <w:pPr>
        <w:pStyle w:val="Heading2"/>
        <w:keepNext/>
        <w:keepLines/>
        <w:spacing w:after="100" w:before="200"/>
      </w:pPr>
      <w:r>
        <w:rPr>
          <w:rFonts w:ascii="Arial" w:cs="Arial" w:eastAsia="Arial" w:hAnsi="Arial"/>
          <w:b/>
          <w:bCs/>
          <w:color w:val="2E6B9E"/>
          <w:sz w:val="28"/>
          <w:szCs w:val="28"/>
        </w:rPr>
        <w:t xml:space="preserve">Discretionary Trading</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Discretionary trading authority means the Advisor can effect transactions in the client’s account(s) without having to obtain client consent prior to each transaction.</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Subject to a grant of discretionary authority, the firm, through its IARs, shall invest and reinvest the securities, cash or other property held in the client’s account in accordance with the client’s stated investment objectives.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 is authorized to execute trades on a discretionary basis through a limited power of attorney, and client consent in the Advisory Contract. This documentation is stored in the client file.</w:t>
      </w:r>
    </w:p>
    <w:p>
      <w:pPr>
        <w:pStyle w:val="Heading2"/>
        <w:keepNext/>
        <w:keepLines/>
        <w:spacing w:after="100" w:before="200"/>
      </w:pPr>
      <w:r>
        <w:rPr>
          <w:rFonts w:ascii="Arial" w:cs="Arial" w:eastAsia="Arial" w:hAnsi="Arial"/>
          <w:b/>
          <w:bCs/>
          <w:color w:val="2E6B9E"/>
          <w:sz w:val="28"/>
          <w:szCs w:val="28"/>
        </w:rPr>
        <w:t xml:space="preserve">Valuation of Securities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In determining the market value of client account(s), BWP shall rely on the valuation as provided by the client’s qualified custodian. In the event a security cannot be valued by the qualified custodian, for billing purposes, BWP shall use information such as independent audits or appraisals as it in good faith deems relevant to determine the value.</w:t>
      </w:r>
    </w:p>
    <w:p>
      <w:pPr>
        <w:pStyle w:val="Heading2"/>
        <w:keepNext/>
        <w:keepLines/>
        <w:spacing w:after="100" w:before="200"/>
      </w:pPr>
      <w:r>
        <w:rPr>
          <w:rFonts w:ascii="Arial" w:cs="Arial" w:eastAsia="Arial" w:hAnsi="Arial"/>
          <w:b/>
          <w:bCs/>
          <w:color w:val="2E6B9E"/>
          <w:sz w:val="28"/>
          <w:szCs w:val="28"/>
        </w:rPr>
        <w:t xml:space="preserve">Order Memorandum / Trade Blotter</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Each trade will be documented on an order memorandum, which will be stored for no less than 5 years and will contain: account number and/or client name; date of entry; CUSIP/Ticker Symbol; quantity purchased or sold; execution price; terms (buy/sell, long or short); commission or fees charged; identity of person who recommended the transaction; identity of person who placed the order; whether the trade was discretionary or not; and any instruction, modification, or cancellation of the order.</w:t>
      </w:r>
    </w:p>
    <w:p>
      <w:pPr>
        <w:pStyle w:val="Heading2"/>
        <w:keepNext/>
        <w:keepLines/>
        <w:spacing w:after="100" w:before="200"/>
      </w:pPr>
      <w:r>
        <w:rPr>
          <w:rFonts w:ascii="Arial" w:cs="Arial" w:eastAsia="Arial" w:hAnsi="Arial"/>
          <w:b/>
          <w:bCs/>
          <w:color w:val="2E6B9E"/>
          <w:sz w:val="28"/>
          <w:szCs w:val="28"/>
        </w:rPr>
        <w:t xml:space="preserve">Mutual Fund Share Class Selection</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shall not accept the receipt of any 12b-1 fees or other fees related to the purchase or sale of mutual fund investments. As with all securities recommendations, BWP shall be responsible for determining if an investment product is suitable for a client and conduct due-diligence on securities product recommendations.</w:t>
      </w:r>
    </w:p>
    <w:p>
      <w:pPr>
        <w:pStyle w:val="Heading2"/>
        <w:keepNext/>
        <w:keepLines/>
        <w:spacing w:after="100" w:before="200"/>
      </w:pPr>
      <w:r>
        <w:rPr>
          <w:rFonts w:ascii="Arial" w:cs="Arial" w:eastAsia="Arial" w:hAnsi="Arial"/>
          <w:b/>
          <w:bCs/>
          <w:color w:val="2E6B9E"/>
          <w:sz w:val="28"/>
          <w:szCs w:val="28"/>
        </w:rPr>
        <w:t xml:space="preserve">Block Trading</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Block trading is permitted where the following conditions are met: (i) orders of two or more clients may be bunched only if we have determined, on an individual basis, that the securities order is in the best interest of each client and consistent with our duty to seek best-execution; (ii) any investment by one client shall not be dependent or contingent upon the willingness or ability of another client to participate; (iii) separate documentation shall be generated and maintained for each client; (iv) the terms negotiated shall apply equally to each participating client; and (v) the price shall be at the average share price for all clients participating, with all transaction costs shared on a pro rata basis.</w:t>
      </w:r>
    </w:p>
    <w:p>
      <w:pPr>
        <w:pStyle w:val="Heading2"/>
        <w:keepNext/>
        <w:keepLines/>
        <w:spacing w:after="100" w:before="200"/>
      </w:pPr>
      <w:r>
        <w:rPr>
          <w:rFonts w:ascii="Arial" w:cs="Arial" w:eastAsia="Arial" w:hAnsi="Arial"/>
          <w:b/>
          <w:bCs/>
          <w:color w:val="2E6B9E"/>
          <w:sz w:val="28"/>
          <w:szCs w:val="28"/>
        </w:rPr>
        <w:t xml:space="preserve">Best-Execution</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has a fiduciary duty to its clients to achieve best execution when it places trades with broker-dealers. The determinative factor is not the lowest possible commission cost, but whether the transaction represents the best qualitative execution.</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On an annual basis, BWP will conduct an assessment of our recommended custodian(s) to determine that they remain a “good fit” for our firm and our clients.</w:t>
      </w:r>
    </w:p>
    <w:p>
      <w:pPr>
        <w:pStyle w:val="ListParagraph"/>
        <w:numPr>
          <w:ilvl w:val="0"/>
          <w:numId w:val="1"/>
        </w:numPr>
        <w:spacing w:after="80" w:line="276" w:lineRule="auto"/>
      </w:pPr>
      <w:r>
        <w:rPr>
          <w:rFonts w:ascii="Arial" w:cs="Arial" w:eastAsia="Arial" w:hAnsi="Arial"/>
          <w:color w:val="1A1A1A"/>
          <w:sz w:val="24"/>
          <w:szCs w:val="24"/>
        </w:rPr>
        <w:t xml:space="preserve">BWP will request a current copy of the custodian’s best-execution policy for review, on at least an annual basis.</w:t>
      </w:r>
    </w:p>
    <w:p>
      <w:pPr>
        <w:pStyle w:val="Heading2"/>
        <w:keepNext/>
        <w:keepLines/>
        <w:spacing w:after="100" w:before="200"/>
      </w:pPr>
      <w:r>
        <w:rPr>
          <w:rFonts w:ascii="Arial" w:cs="Arial" w:eastAsia="Arial" w:hAnsi="Arial"/>
          <w:b/>
          <w:bCs/>
          <w:color w:val="2E6B9E"/>
          <w:sz w:val="28"/>
          <w:szCs w:val="28"/>
        </w:rPr>
        <w:t xml:space="preserve">Soft Dollars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may receive research products or services that fall under the "safe harbor" established by Section 28(e) of the Securities Exchange Act of 1934, in connection with its allocation of portfolio brokerage.</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 shall maintain a Soft Dollar Log of any monetary soft dollars received by broker-dealers.</w:t>
      </w:r>
    </w:p>
    <w:p>
      <w:pPr>
        <w:pStyle w:val="ListParagraph"/>
        <w:numPr>
          <w:ilvl w:val="0"/>
          <w:numId w:val="1"/>
        </w:numPr>
        <w:spacing w:after="80" w:line="276" w:lineRule="auto"/>
      </w:pPr>
      <w:r>
        <w:rPr>
          <w:rFonts w:ascii="Arial" w:cs="Arial" w:eastAsia="Arial" w:hAnsi="Arial"/>
          <w:color w:val="1A1A1A"/>
          <w:sz w:val="24"/>
          <w:szCs w:val="24"/>
        </w:rPr>
        <w:t xml:space="preserve">The CCO shall review any economic benefits received from the firm’s recommended custodians and assess if any conflicts of interests exist.</w:t>
      </w:r>
    </w:p>
    <w:p>
      <w:pPr>
        <w:pStyle w:val="Heading2"/>
        <w:keepNext/>
        <w:keepLines/>
        <w:spacing w:after="100" w:before="200"/>
      </w:pPr>
      <w:r>
        <w:rPr>
          <w:rFonts w:ascii="Arial" w:cs="Arial" w:eastAsia="Arial" w:hAnsi="Arial"/>
          <w:b/>
          <w:bCs/>
          <w:color w:val="2E6B9E"/>
          <w:sz w:val="28"/>
          <w:szCs w:val="28"/>
        </w:rPr>
        <w:t xml:space="preserve">Trade Errors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An overriding principle in dealing with a trading error made by BWP (or any other party to the trade other than the client) is that the client never pays for losses resulting from such errors.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Where appropriate, we will correct the error immediately, in the best interest of the client. In all cases the CCO must be notified as soon as practicable.</w:t>
      </w:r>
    </w:p>
    <w:p>
      <w:pPr>
        <w:pStyle w:val="ListParagraph"/>
        <w:numPr>
          <w:ilvl w:val="0"/>
          <w:numId w:val="1"/>
        </w:numPr>
        <w:spacing w:after="80" w:line="276" w:lineRule="auto"/>
      </w:pPr>
      <w:r>
        <w:rPr>
          <w:rFonts w:ascii="Arial" w:cs="Arial" w:eastAsia="Arial" w:hAnsi="Arial"/>
          <w:color w:val="1A1A1A"/>
          <w:sz w:val="24"/>
          <w:szCs w:val="24"/>
        </w:rPr>
        <w:t xml:space="preserve">Each trade error is maintained in a Trade Error Log.</w:t>
      </w:r>
    </w:p>
    <w:p>
      <w:pPr>
        <w:pStyle w:val="Heading1"/>
        <w:keepNext/>
        <w:keepLines/>
        <w:spacing w:after="120" w:before="240"/>
      </w:pPr>
      <w:r>
        <w:rPr>
          <w:rFonts w:ascii="Arial" w:cs="Arial" w:eastAsia="Arial" w:hAnsi="Arial"/>
          <w:b/>
          <w:bCs/>
          <w:color w:val="1B3A5C"/>
          <w:sz w:val="32"/>
          <w:szCs w:val="32"/>
        </w:rPr>
        <w:t xml:space="preserve">Financial Planning</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must provide financial planning advice in a manner that is consistent with BWP’s fiduciary duty. In addition, BWP must ensure that all fees charged for financial planning services are reasonable based on the scope of services and the complexity of the client’s financial planning needs.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In providing financial planning advice, BWP may not make a recommendation to a third-party financial professional in which BWP or any of its representatives receives compensation for referrals or other economic benefit.</w:t>
      </w:r>
    </w:p>
    <w:p>
      <w:pPr>
        <w:pStyle w:val="ListParagraph"/>
        <w:numPr>
          <w:ilvl w:val="0"/>
          <w:numId w:val="1"/>
        </w:numPr>
        <w:spacing w:after="80" w:line="276" w:lineRule="auto"/>
      </w:pPr>
      <w:r>
        <w:rPr>
          <w:rFonts w:ascii="Arial" w:cs="Arial" w:eastAsia="Arial" w:hAnsi="Arial"/>
          <w:color w:val="1A1A1A"/>
          <w:sz w:val="24"/>
          <w:szCs w:val="24"/>
        </w:rPr>
        <w:t xml:space="preserve">As a fee-only investment advisory firm, BWP or any of its representatives is prohibited from receiving compensation, other than payment directly from clients for financial advice.</w:t>
      </w:r>
    </w:p>
    <w:p>
      <w:pPr>
        <w:pStyle w:val="ListParagraph"/>
        <w:numPr>
          <w:ilvl w:val="0"/>
          <w:numId w:val="1"/>
        </w:numPr>
        <w:spacing w:after="80" w:line="276" w:lineRule="auto"/>
      </w:pPr>
      <w:r>
        <w:rPr>
          <w:rFonts w:ascii="Arial" w:cs="Arial" w:eastAsia="Arial" w:hAnsi="Arial"/>
          <w:color w:val="1A1A1A"/>
          <w:sz w:val="24"/>
          <w:szCs w:val="24"/>
        </w:rPr>
        <w:t xml:space="preserve">BWP must exercise reasonable care and judgment when selecting, using, or recommending any software, digital advice tool, or other technology while providing financial advice to clients.</w:t>
      </w:r>
    </w:p>
    <w:p>
      <w:pPr>
        <w:pStyle w:val="ListParagraph"/>
        <w:numPr>
          <w:ilvl w:val="0"/>
          <w:numId w:val="1"/>
        </w:numPr>
        <w:spacing w:after="80" w:line="276" w:lineRule="auto"/>
      </w:pPr>
      <w:r>
        <w:rPr>
          <w:rFonts w:ascii="Arial" w:cs="Arial" w:eastAsia="Arial" w:hAnsi="Arial"/>
          <w:color w:val="1A1A1A"/>
          <w:sz w:val="24"/>
          <w:szCs w:val="24"/>
        </w:rPr>
        <w:t xml:space="preserve">The CCO will ensure that the financial planning fees are always reasonable and reviewed with the client no less than annually.</w:t>
      </w:r>
    </w:p>
    <w:p>
      <w:pPr>
        <w:pStyle w:val="Heading1"/>
        <w:keepNext/>
        <w:keepLines/>
        <w:spacing w:after="120" w:before="240"/>
      </w:pPr>
      <w:r>
        <w:rPr>
          <w:rFonts w:ascii="Arial" w:cs="Arial" w:eastAsia="Arial" w:hAnsi="Arial"/>
          <w:b/>
          <w:bCs/>
          <w:color w:val="1B3A5C"/>
          <w:sz w:val="32"/>
          <w:szCs w:val="32"/>
        </w:rPr>
        <w:t xml:space="preserve">Employee Retirement Income Security Act (ERISA)</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Investment advisers have special fiduciary responsibilities under the Employee Retirement Income Security Act of 1974 ("ERISA"). ERISA is administered and enforced by the U.S. Department of Labor ("DOL").</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Due to the complicated regulations under ERISA, prior to rendering investment advice to an account governed by ERISA, each IAR must consult with the CCO who shall be responsible for approving the arrangement and, if necessary, consulting with legal counsel. Subject to certain exceptions, an ERISA Covered Account will generally include any private sector ERISA Covered retirement plan sponsored by an employer or a union or both.</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 shall make a determination as to which client account(s) are subject to ERISA.</w:t>
      </w:r>
    </w:p>
    <w:p>
      <w:pPr>
        <w:pStyle w:val="ListParagraph"/>
        <w:numPr>
          <w:ilvl w:val="0"/>
          <w:numId w:val="1"/>
        </w:numPr>
        <w:spacing w:after="80" w:line="276" w:lineRule="auto"/>
      </w:pPr>
      <w:r>
        <w:rPr>
          <w:rFonts w:ascii="Arial" w:cs="Arial" w:eastAsia="Arial" w:hAnsi="Arial"/>
          <w:color w:val="1A1A1A"/>
          <w:sz w:val="24"/>
          <w:szCs w:val="24"/>
        </w:rPr>
        <w:t xml:space="preserve">Should BWP provide investment advisory service for an ERISA Plan, BWP shall determine the type of fiduciary status BWP holds. Such status shall be disclosed in the written agreement between the Plan and BWP.</w:t>
      </w:r>
    </w:p>
    <w:p>
      <w:pPr>
        <w:pStyle w:val="ListParagraph"/>
        <w:numPr>
          <w:ilvl w:val="0"/>
          <w:numId w:val="1"/>
        </w:numPr>
        <w:spacing w:after="80" w:line="276" w:lineRule="auto"/>
      </w:pPr>
      <w:r>
        <w:rPr>
          <w:rFonts w:ascii="Arial" w:cs="Arial" w:eastAsia="Arial" w:hAnsi="Arial"/>
          <w:color w:val="1A1A1A"/>
          <w:sz w:val="24"/>
          <w:szCs w:val="24"/>
        </w:rPr>
        <w:t xml:space="preserve">BWP shall deliver to clients its ERISA 408(b)(2) disclosures at or before it enters into an advisory agreement.</w:t>
      </w:r>
    </w:p>
    <w:p>
      <w:pPr>
        <w:pStyle w:val="ListParagraph"/>
        <w:numPr>
          <w:ilvl w:val="0"/>
          <w:numId w:val="1"/>
        </w:numPr>
        <w:spacing w:after="80" w:line="276" w:lineRule="auto"/>
      </w:pPr>
      <w:r>
        <w:rPr>
          <w:rFonts w:ascii="Arial" w:cs="Arial" w:eastAsia="Arial" w:hAnsi="Arial"/>
          <w:color w:val="1A1A1A"/>
          <w:sz w:val="24"/>
          <w:szCs w:val="24"/>
        </w:rPr>
        <w:t xml:space="preserve">BWP shall act in the Plan’s best interest, charge no more than reasonable compensation, and make no misleading statements.</w:t>
      </w:r>
    </w:p>
    <w:p>
      <w:pPr>
        <w:pStyle w:val="Heading2"/>
        <w:keepNext/>
        <w:keepLines/>
        <w:spacing w:after="100" w:before="200"/>
      </w:pPr>
      <w:r>
        <w:rPr>
          <w:rFonts w:ascii="Arial" w:cs="Arial" w:eastAsia="Arial" w:hAnsi="Arial"/>
          <w:b/>
          <w:bCs/>
          <w:color w:val="2E6B9E"/>
          <w:sz w:val="28"/>
          <w:szCs w:val="28"/>
        </w:rPr>
        <w:t xml:space="preserve">Retirement Plan Advice (PTE 2020-02)</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The Prohibited Transaction Exemption (PTE 2020-02) was published by the DOL to address certain conflicts of interest that arise when an investment fiduciary provides recommendations or engages in certain transactions with regard to the assets of retirement investors.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For all ERISA-covered Plan rollover recommendations, BWP and all supervised persons are required to document the considerations and reasoning used to ensure each rollover recommendation is in the best interest of the client. BWP does not create any compensation incentives to encourage representatives to make recommendations to rollover client assets held in ERISA-covered Plans.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Any supervised person providing a recommendation to rollover assets from an ERISA-covered Plan to an IRA must first complete a Retirement Account Rollover Disclosure Form ("Rollover Disclosure Form") and provide the client with a copy, while maintaining a copy in the client’s records.</w:t>
      </w:r>
    </w:p>
    <w:p>
      <w:pPr>
        <w:pStyle w:val="ListParagraph"/>
        <w:numPr>
          <w:ilvl w:val="0"/>
          <w:numId w:val="1"/>
        </w:numPr>
        <w:spacing w:after="80" w:line="276" w:lineRule="auto"/>
      </w:pPr>
      <w:r>
        <w:rPr>
          <w:rFonts w:ascii="Arial" w:cs="Arial" w:eastAsia="Arial" w:hAnsi="Arial"/>
          <w:color w:val="1A1A1A"/>
          <w:sz w:val="24"/>
          <w:szCs w:val="24"/>
        </w:rPr>
        <w:t xml:space="preserve">BWP must prepare, maintain, and provide to clients accurate and complete documentation demonstrating that the ERISA-covered Plan rollover recommendation is in the best interest of the client.</w:t>
      </w:r>
    </w:p>
    <w:p>
      <w:pPr>
        <w:pStyle w:val="ListParagraph"/>
        <w:numPr>
          <w:ilvl w:val="0"/>
          <w:numId w:val="1"/>
        </w:numPr>
        <w:spacing w:after="80" w:line="276" w:lineRule="auto"/>
      </w:pPr>
      <w:r>
        <w:rPr>
          <w:rFonts w:ascii="Arial" w:cs="Arial" w:eastAsia="Arial" w:hAnsi="Arial"/>
          <w:color w:val="1A1A1A"/>
          <w:sz w:val="24"/>
          <w:szCs w:val="24"/>
        </w:rPr>
        <w:t xml:space="preserve">No less than annually, the CCO must conduct a retrospective review of Rollover Disclosure Forms.</w:t>
      </w:r>
    </w:p>
    <w:p>
      <w:pPr>
        <w:pStyle w:val="Heading1"/>
        <w:keepNext/>
        <w:keepLines/>
        <w:spacing w:after="120" w:before="240"/>
      </w:pPr>
      <w:r>
        <w:rPr>
          <w:rFonts w:ascii="Arial" w:cs="Arial" w:eastAsia="Arial" w:hAnsi="Arial"/>
          <w:b/>
          <w:bCs/>
          <w:color w:val="1B3A5C"/>
          <w:sz w:val="32"/>
          <w:szCs w:val="32"/>
        </w:rPr>
        <w:t xml:space="preserve">Client Complaints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The term "complaint" is generally defined as any statement (whether delivered in writing, orally or electronically) of a client or any person acting on behalf of a client alleging a grievance involving the activities of those persons under the control of the Advisor in connection with the solicitation or execution of any transaction or the disposition of securities or funds of that client.</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We take all complaints seriously. A prompt, thorough, and fair review of any complaint is to be conducted with a fair, documented, resolution accomplished.</w:t>
      </w:r>
    </w:p>
    <w:p>
      <w:pPr>
        <w:pStyle w:val="Heading3"/>
        <w:keepNext/>
        <w:keepLines/>
        <w:spacing w:after="80" w:before="160"/>
      </w:pPr>
      <w:r>
        <w:rPr>
          <w:rFonts w:ascii="Arial" w:cs="Arial" w:eastAsia="Arial" w:hAnsi="Arial"/>
          <w:b/>
          <w:bCs/>
          <w:color w:val="1A1A1A"/>
          <w:sz w:val="24"/>
          <w:szCs w:val="24"/>
        </w:rPr>
        <w:t xml:space="preserve">Complaint Resolution Process</w:t>
      </w:r>
    </w:p>
    <w:p>
      <w:pPr>
        <w:spacing w:after="120" w:line="276" w:lineRule="auto"/>
      </w:pPr>
      <w:r>
        <w:rPr>
          <w:rFonts w:ascii="Arial" w:cs="Arial" w:eastAsia="Arial" w:hAnsi="Arial"/>
          <w:color w:val="1A1A1A"/>
          <w:sz w:val="24"/>
          <w:szCs w:val="24"/>
        </w:rPr>
        <w:t xml:space="preserve">The Complaint Resolution process is broken up into the following 5 steps:</w:t>
      </w:r>
    </w:p>
    <w:p>
      <w:pPr>
        <w:pStyle w:val="ListParagraph"/>
        <w:numPr>
          <w:ilvl w:val="0"/>
          <w:numId w:val="1"/>
        </w:numPr>
        <w:spacing w:after="80" w:line="276" w:lineRule="auto"/>
      </w:pPr>
      <w:r>
        <w:rPr>
          <w:rFonts w:ascii="Arial" w:cs="Arial" w:eastAsia="Arial" w:hAnsi="Arial"/>
          <w:color w:val="1A1A1A"/>
          <w:sz w:val="24"/>
          <w:szCs w:val="24"/>
        </w:rPr>
        <w:t xml:space="preserve">Complaint is received: If any verbal or written communication is received from a client that may be interpreted as a complaint, it should be shared with the CCO and replied to as soon as possible.</w:t>
      </w:r>
    </w:p>
    <w:p>
      <w:pPr>
        <w:pStyle w:val="ListParagraph"/>
        <w:numPr>
          <w:ilvl w:val="0"/>
          <w:numId w:val="1"/>
        </w:numPr>
        <w:spacing w:after="80" w:line="276" w:lineRule="auto"/>
      </w:pPr>
      <w:r>
        <w:rPr>
          <w:rFonts w:ascii="Arial" w:cs="Arial" w:eastAsia="Arial" w:hAnsi="Arial"/>
          <w:color w:val="1A1A1A"/>
          <w:sz w:val="24"/>
          <w:szCs w:val="24"/>
        </w:rPr>
        <w:t xml:space="preserve">Receipt of complaint is acknowledged to client: The CCO contacts the client to inform them their concerns will be investigated and they will be provided a response within 30 days.</w:t>
      </w:r>
    </w:p>
    <w:p>
      <w:pPr>
        <w:pStyle w:val="ListParagraph"/>
        <w:numPr>
          <w:ilvl w:val="0"/>
          <w:numId w:val="1"/>
        </w:numPr>
        <w:spacing w:after="80" w:line="276" w:lineRule="auto"/>
      </w:pPr>
      <w:r>
        <w:rPr>
          <w:rFonts w:ascii="Arial" w:cs="Arial" w:eastAsia="Arial" w:hAnsi="Arial"/>
          <w:color w:val="1A1A1A"/>
          <w:sz w:val="24"/>
          <w:szCs w:val="24"/>
        </w:rPr>
        <w:t xml:space="preserve">Investigation: All material facts are gathered, and individuals associated with the complaint are interviewed.</w:t>
      </w:r>
    </w:p>
    <w:p>
      <w:pPr>
        <w:pStyle w:val="ListParagraph"/>
        <w:numPr>
          <w:ilvl w:val="0"/>
          <w:numId w:val="1"/>
        </w:numPr>
        <w:spacing w:after="80" w:line="276" w:lineRule="auto"/>
      </w:pPr>
      <w:r>
        <w:rPr>
          <w:rFonts w:ascii="Arial" w:cs="Arial" w:eastAsia="Arial" w:hAnsi="Arial"/>
          <w:color w:val="1A1A1A"/>
          <w:sz w:val="24"/>
          <w:szCs w:val="24"/>
        </w:rPr>
        <w:t xml:space="preserve">Resolution: Complaint has merit — the CCO should make a good faith effort to fairly resolve the complaint. Complaint is without merit — the CCO will provide a thorough explanation to the client.</w:t>
      </w:r>
    </w:p>
    <w:p>
      <w:pPr>
        <w:pStyle w:val="ListParagraph"/>
        <w:numPr>
          <w:ilvl w:val="0"/>
          <w:numId w:val="1"/>
        </w:numPr>
        <w:spacing w:after="80" w:line="276" w:lineRule="auto"/>
      </w:pPr>
      <w:r>
        <w:rPr>
          <w:rFonts w:ascii="Arial" w:cs="Arial" w:eastAsia="Arial" w:hAnsi="Arial"/>
          <w:color w:val="1A1A1A"/>
          <w:sz w:val="24"/>
          <w:szCs w:val="24"/>
        </w:rPr>
        <w:t xml:space="preserve">Regulatory Filings: The CCO will need to determine whether the complaint and its resolution will be reportable on the Form U4 and/or the Form ADV.</w:t>
      </w:r>
    </w:p>
    <w:p>
      <w:pPr>
        <w:pStyle w:val="Heading2"/>
        <w:keepNext/>
        <w:keepLines/>
        <w:spacing w:after="100" w:before="200"/>
      </w:pPr>
      <w:r>
        <w:rPr>
          <w:rFonts w:ascii="Arial" w:cs="Arial" w:eastAsia="Arial" w:hAnsi="Arial"/>
          <w:b/>
          <w:bCs/>
          <w:color w:val="2E6B9E"/>
          <w:sz w:val="28"/>
          <w:szCs w:val="28"/>
        </w:rPr>
        <w:t xml:space="preserve">Complaints and Legal Actions (OAC 1301:6-3-15.1(E)(1)(s))</w:t>
      </w:r>
    </w:p>
    <w:p>
      <w:pPr>
        <w:spacing w:after="120" w:line="276" w:lineRule="auto"/>
      </w:pPr>
      <w:r>
        <w:rPr>
          <w:rFonts w:ascii="Arial" w:cs="Arial" w:eastAsia="Arial" w:hAnsi="Arial"/>
          <w:color w:val="1A1A1A"/>
          <w:sz w:val="24"/>
          <w:szCs w:val="24"/>
        </w:rPr>
        <w:t xml:space="preserve">BWP shall maintain a file containing copies of all written communications received or sent regarding any complaint, arbitration, civil litigation, unsatisfied judgment, or lien involving the firm or any supervised person that alleges a violation of state or federal law, or the rules or code of ethics of any professional or regulatory body. All complaint files shall be retained for a minimum of five (5) years per OAC 1301:6-3-15.1(E).</w:t>
      </w:r>
    </w:p>
    <w:p>
      <w:pPr>
        <w:pStyle w:val="Heading1"/>
        <w:keepNext/>
        <w:keepLines/>
        <w:spacing w:after="120" w:before="240"/>
      </w:pPr>
      <w:r>
        <w:rPr>
          <w:rFonts w:ascii="Arial" w:cs="Arial" w:eastAsia="Arial" w:hAnsi="Arial"/>
          <w:b/>
          <w:bCs/>
          <w:color w:val="1B3A5C"/>
          <w:sz w:val="32"/>
          <w:szCs w:val="32"/>
        </w:rPr>
        <w:t xml:space="preserve">Privacy Policy / Regulation S-P</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Pursuant to the requirements of the Gramm-Leach-Bliley Act (the "GLBA") and guidelines established by the SEC regarding the Privacy of Consumer Financial Information (Regulation S-P) and similar state statutes, investment advisers are required to have policies and procedures in place to ensure that clients’ nonpublic private information is kept private and secure.</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is committed to safeguarding the confidential information of its clients. We hold all personal information provided to us in the strictest confidence. BWP will never disclose information to nonaffiliated third parties, except as permitted by law. Please review BWP’s Cybersecurity &amp; Data Protection Policy in conjunction with this policy.</w:t>
      </w:r>
    </w:p>
    <w:p>
      <w:pPr>
        <w:pStyle w:val="Heading3"/>
        <w:keepNext/>
        <w:keepLines/>
        <w:spacing w:after="80" w:before="160"/>
      </w:pPr>
      <w:r>
        <w:rPr>
          <w:rFonts w:ascii="Arial" w:cs="Arial" w:eastAsia="Arial" w:hAnsi="Arial"/>
          <w:b/>
          <w:bCs/>
          <w:color w:val="1A1A1A"/>
          <w:sz w:val="24"/>
          <w:szCs w:val="24"/>
        </w:rPr>
        <w:t xml:space="preserve">Supervised Person Obligations</w:t>
      </w:r>
    </w:p>
    <w:p>
      <w:pPr>
        <w:pStyle w:val="ListParagraph"/>
        <w:numPr>
          <w:ilvl w:val="0"/>
          <w:numId w:val="1"/>
        </w:numPr>
        <w:spacing w:after="80" w:line="276" w:lineRule="auto"/>
      </w:pPr>
      <w:r>
        <w:rPr>
          <w:rFonts w:ascii="Arial" w:cs="Arial" w:eastAsia="Arial" w:hAnsi="Arial"/>
          <w:color w:val="1A1A1A"/>
          <w:sz w:val="24"/>
          <w:szCs w:val="24"/>
        </w:rPr>
        <w:t xml:space="preserve">Each staff member has a duty to protect the nonpublic personal information of clients collected by BWP.</w:t>
      </w:r>
    </w:p>
    <w:p>
      <w:pPr>
        <w:pStyle w:val="ListParagraph"/>
        <w:numPr>
          <w:ilvl w:val="0"/>
          <w:numId w:val="1"/>
        </w:numPr>
        <w:spacing w:after="80" w:line="276" w:lineRule="auto"/>
      </w:pPr>
      <w:r>
        <w:rPr>
          <w:rFonts w:ascii="Arial" w:cs="Arial" w:eastAsia="Arial" w:hAnsi="Arial"/>
          <w:color w:val="1A1A1A"/>
          <w:sz w:val="24"/>
          <w:szCs w:val="24"/>
        </w:rPr>
        <w:t xml:space="preserve">No staff member is authorized to disclose or use the nonpublic information of clients on behalf of BWP.</w:t>
      </w:r>
    </w:p>
    <w:p>
      <w:pPr>
        <w:pStyle w:val="ListParagraph"/>
        <w:numPr>
          <w:ilvl w:val="0"/>
          <w:numId w:val="1"/>
        </w:numPr>
        <w:spacing w:after="80" w:line="276" w:lineRule="auto"/>
      </w:pPr>
      <w:r>
        <w:rPr>
          <w:rFonts w:ascii="Arial" w:cs="Arial" w:eastAsia="Arial" w:hAnsi="Arial"/>
          <w:color w:val="1A1A1A"/>
          <w:sz w:val="24"/>
          <w:szCs w:val="24"/>
        </w:rPr>
        <w:t xml:space="preserve">Each staff member has a duty to ensure that nonpublic personal information of BWP’s clients is shared only with supervised persons and others in a way that is consistent with BWP’s Privacy Notice and the procedures contained in this Policy.</w:t>
      </w:r>
    </w:p>
    <w:p>
      <w:pPr>
        <w:pStyle w:val="ListParagraph"/>
        <w:numPr>
          <w:ilvl w:val="0"/>
          <w:numId w:val="1"/>
        </w:numPr>
        <w:spacing w:after="80" w:line="276" w:lineRule="auto"/>
      </w:pPr>
      <w:r>
        <w:rPr>
          <w:rFonts w:ascii="Arial" w:cs="Arial" w:eastAsia="Arial" w:hAnsi="Arial"/>
          <w:color w:val="1A1A1A"/>
          <w:sz w:val="24"/>
          <w:szCs w:val="24"/>
        </w:rPr>
        <w:t xml:space="preserve">No staff member is authorized to sell, on behalf of BWP or otherwise, nonpublic information of BWP’s clients.</w:t>
      </w:r>
    </w:p>
    <w:p>
      <w:pPr>
        <w:pStyle w:val="ListParagraph"/>
        <w:numPr>
          <w:ilvl w:val="0"/>
          <w:numId w:val="1"/>
        </w:numPr>
        <w:spacing w:after="80" w:line="276" w:lineRule="auto"/>
      </w:pPr>
      <w:r>
        <w:rPr>
          <w:rFonts w:ascii="Arial" w:cs="Arial" w:eastAsia="Arial" w:hAnsi="Arial"/>
          <w:color w:val="1A1A1A"/>
          <w:sz w:val="24"/>
          <w:szCs w:val="24"/>
        </w:rPr>
        <w:t xml:space="preserve">Supervised persons with questions concerning the collection and sharing of nonpublic personal information of BWP’s clients must look to BWP’s CCO for guidance.</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 delivers its Privacy Policy either prior to or at the time of entering into an Advisory Contract with the client.</w:t>
      </w:r>
    </w:p>
    <w:p>
      <w:pPr>
        <w:pStyle w:val="ListParagraph"/>
        <w:numPr>
          <w:ilvl w:val="0"/>
          <w:numId w:val="1"/>
        </w:numPr>
        <w:spacing w:after="80" w:line="276" w:lineRule="auto"/>
      </w:pPr>
      <w:r>
        <w:rPr>
          <w:rFonts w:ascii="Arial" w:cs="Arial" w:eastAsia="Arial" w:hAnsi="Arial"/>
          <w:color w:val="1A1A1A"/>
          <w:sz w:val="24"/>
          <w:szCs w:val="24"/>
        </w:rPr>
        <w:t xml:space="preserve">Annually, BWP shall deliver its Privacy Policy and when amended.</w:t>
      </w:r>
    </w:p>
    <w:p>
      <w:pPr>
        <w:pStyle w:val="ListParagraph"/>
        <w:numPr>
          <w:ilvl w:val="0"/>
          <w:numId w:val="1"/>
        </w:numPr>
        <w:spacing w:after="80" w:line="276" w:lineRule="auto"/>
      </w:pPr>
      <w:r>
        <w:rPr>
          <w:rFonts w:ascii="Arial" w:cs="Arial" w:eastAsia="Arial" w:hAnsi="Arial"/>
          <w:color w:val="1A1A1A"/>
          <w:sz w:val="24"/>
          <w:szCs w:val="24"/>
        </w:rPr>
        <w:t xml:space="preserve">BWP shall maintain evidence of initial and annual privacy notice delivery for each client, including the method of delivery, date of delivery, and any client acknowledgment. Such records shall be retained for five (5) years per OAC 1301:6-3-15.1(E).</w:t>
      </w:r>
    </w:p>
    <w:p>
      <w:pPr>
        <w:pStyle w:val="Heading2"/>
        <w:keepNext/>
        <w:keepLines/>
        <w:spacing w:after="100" w:before="200"/>
      </w:pPr>
      <w:r>
        <w:rPr>
          <w:rFonts w:ascii="Arial" w:cs="Arial" w:eastAsia="Arial" w:hAnsi="Arial"/>
          <w:b/>
          <w:bCs/>
          <w:color w:val="2E6B9E"/>
          <w:sz w:val="28"/>
          <w:szCs w:val="28"/>
        </w:rPr>
        <w:t xml:space="preserve">Breach Notification — Amended Regulation S-P (Effective December 3, 2025)</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The 2024 amendments to Regulation S-P require covered institutions, including investment advisers, to notify affected individuals within 30 days of discovering a security breach involving nonpublic personal information (NPPI). These amendments became effective for smaller covered institutions on December 3, 2025.</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In the event BWP discovers or reasonably believes that a security breach has occurred that involves access to or misuse of client NPPI, BWP must provide written notification to each affected individual within thirty (30) calendar days of discovery. The notification must describe the nature of the breach, the information involved, and the steps being taken to address it.</w:t>
      </w:r>
    </w:p>
    <w:p>
      <w:pPr>
        <w:pStyle w:val="Heading3"/>
        <w:keepNext/>
        <w:keepLines/>
        <w:spacing w:after="80" w:before="160"/>
      </w:pPr>
      <w:r>
        <w:rPr>
          <w:rFonts w:ascii="Arial" w:cs="Arial" w:eastAsia="Arial" w:hAnsi="Arial"/>
          <w:b/>
          <w:bCs/>
          <w:color w:val="1A1A1A"/>
          <w:sz w:val="24"/>
          <w:szCs w:val="24"/>
        </w:rPr>
        <w:t xml:space="preserve">Breach Notification Procedures</w:t>
      </w:r>
    </w:p>
    <w:p>
      <w:pPr>
        <w:pStyle w:val="ListParagraph"/>
        <w:numPr>
          <w:ilvl w:val="0"/>
          <w:numId w:val="1"/>
        </w:numPr>
        <w:spacing w:after="80" w:line="276" w:lineRule="auto"/>
      </w:pPr>
      <w:r>
        <w:rPr>
          <w:rFonts w:ascii="Arial" w:cs="Arial" w:eastAsia="Arial" w:hAnsi="Arial"/>
          <w:color w:val="1A1A1A"/>
          <w:sz w:val="24"/>
          <w:szCs w:val="24"/>
        </w:rPr>
        <w:t xml:space="preserve">Upon discovering a potential breach, the CCO shall immediately assess whether client NPPI was involved.</w:t>
      </w:r>
    </w:p>
    <w:p>
      <w:pPr>
        <w:pStyle w:val="ListParagraph"/>
        <w:numPr>
          <w:ilvl w:val="0"/>
          <w:numId w:val="1"/>
        </w:numPr>
        <w:spacing w:after="80" w:line="276" w:lineRule="auto"/>
      </w:pPr>
      <w:r>
        <w:rPr>
          <w:rFonts w:ascii="Arial" w:cs="Arial" w:eastAsia="Arial" w:hAnsi="Arial"/>
          <w:color w:val="1A1A1A"/>
          <w:sz w:val="24"/>
          <w:szCs w:val="24"/>
        </w:rPr>
        <w:t xml:space="preserve">If client NPPI may have been compromised, the 30-day notification clock begins on the date of discovery.</w:t>
      </w:r>
    </w:p>
    <w:p>
      <w:pPr>
        <w:pStyle w:val="ListParagraph"/>
        <w:numPr>
          <w:ilvl w:val="0"/>
          <w:numId w:val="1"/>
        </w:numPr>
        <w:spacing w:after="80" w:line="276" w:lineRule="auto"/>
      </w:pPr>
      <w:r>
        <w:rPr>
          <w:rFonts w:ascii="Arial" w:cs="Arial" w:eastAsia="Arial" w:hAnsi="Arial"/>
          <w:color w:val="1A1A1A"/>
          <w:sz w:val="24"/>
          <w:szCs w:val="24"/>
        </w:rPr>
        <w:t xml:space="preserve">The CCO shall coordinate with legal counsel to prepare breach notifications.</w:t>
      </w:r>
    </w:p>
    <w:p>
      <w:pPr>
        <w:pStyle w:val="ListParagraph"/>
        <w:numPr>
          <w:ilvl w:val="0"/>
          <w:numId w:val="1"/>
        </w:numPr>
        <w:spacing w:after="80" w:line="276" w:lineRule="auto"/>
      </w:pPr>
      <w:r>
        <w:rPr>
          <w:rFonts w:ascii="Arial" w:cs="Arial" w:eastAsia="Arial" w:hAnsi="Arial"/>
          <w:color w:val="1A1A1A"/>
          <w:sz w:val="24"/>
          <w:szCs w:val="24"/>
        </w:rPr>
        <w:t xml:space="preserve">All breach incidents and notification records shall be logged and retained for five (5) years.</w:t>
      </w:r>
    </w:p>
    <w:p>
      <w:pPr>
        <w:pStyle w:val="ListParagraph"/>
        <w:numPr>
          <w:ilvl w:val="0"/>
          <w:numId w:val="1"/>
        </w:numPr>
        <w:spacing w:after="80" w:line="276" w:lineRule="auto"/>
      </w:pPr>
      <w:r>
        <w:rPr>
          <w:rFonts w:ascii="Arial" w:cs="Arial" w:eastAsia="Arial" w:hAnsi="Arial"/>
          <w:color w:val="1A1A1A"/>
          <w:sz w:val="24"/>
          <w:szCs w:val="24"/>
        </w:rPr>
        <w:t xml:space="preserve">BWP’s written incident response program (maintained as part of the Cybersecurity and Data Protection Policy) governs the technical response to any breach.</w:t>
      </w:r>
    </w:p>
    <w:p>
      <w:pPr>
        <w:pStyle w:val="ListParagraph"/>
        <w:numPr>
          <w:ilvl w:val="0"/>
          <w:numId w:val="1"/>
        </w:numPr>
        <w:spacing w:after="80" w:line="276" w:lineRule="auto"/>
      </w:pPr>
      <w:r>
        <w:rPr>
          <w:rFonts w:ascii="Arial" w:cs="Arial" w:eastAsia="Arial" w:hAnsi="Arial"/>
          <w:color w:val="1A1A1A"/>
          <w:sz w:val="24"/>
          <w:szCs w:val="24"/>
        </w:rPr>
        <w:t xml:space="preserve">Refer to the Cybersecurity and Data Protection Policy for breach containment, remediation, and root cause analysis procedures.</w:t>
      </w:r>
    </w:p>
    <w:p>
      <w:pPr>
        <w:pStyle w:val="Heading1"/>
        <w:keepNext/>
        <w:keepLines/>
        <w:spacing w:after="120" w:before="240"/>
      </w:pPr>
      <w:r>
        <w:rPr>
          <w:rFonts w:ascii="Arial" w:cs="Arial" w:eastAsia="Arial" w:hAnsi="Arial"/>
          <w:b/>
          <w:bCs/>
          <w:color w:val="1B3A5C"/>
          <w:sz w:val="32"/>
          <w:szCs w:val="32"/>
        </w:rPr>
        <w:t xml:space="preserve">Proxy Voting Policy</w:t>
      </w:r>
    </w:p>
    <w:p>
      <w:pPr>
        <w:spacing w:after="120" w:line="276" w:lineRule="auto"/>
      </w:pPr>
      <w:r>
        <w:rPr>
          <w:rFonts w:ascii="Arial" w:cs="Arial" w:eastAsia="Arial" w:hAnsi="Arial"/>
          <w:color w:val="1A1A1A"/>
          <w:sz w:val="24"/>
          <w:szCs w:val="24"/>
        </w:rPr>
        <w:t xml:space="preserve">BWP does not vote proxies for clients. Client shall instruct the client’s qualified custodian to forward to the client copies of all proxies and shareholder communications relating to the client’s investment assets.</w:t>
      </w:r>
    </w:p>
    <w:p>
      <w:pPr>
        <w:pStyle w:val="Heading1"/>
        <w:keepNext/>
        <w:keepLines/>
        <w:spacing w:after="120" w:before="240"/>
      </w:pPr>
      <w:r>
        <w:rPr>
          <w:rFonts w:ascii="Arial" w:cs="Arial" w:eastAsia="Arial" w:hAnsi="Arial"/>
          <w:b/>
          <w:bCs/>
          <w:color w:val="1B3A5C"/>
          <w:sz w:val="32"/>
          <w:szCs w:val="32"/>
        </w:rPr>
        <w:t xml:space="preserve">Solicitors Arrangements</w:t>
      </w:r>
    </w:p>
    <w:p>
      <w:pPr>
        <w:spacing w:after="120" w:line="276" w:lineRule="auto"/>
      </w:pPr>
      <w:r>
        <w:rPr>
          <w:rFonts w:ascii="Arial" w:cs="Arial" w:eastAsia="Arial" w:hAnsi="Arial"/>
          <w:color w:val="1A1A1A"/>
          <w:sz w:val="24"/>
          <w:szCs w:val="24"/>
        </w:rPr>
        <w:t xml:space="preserve">BWP does not currently engage independent solicitors to provide client referrals. If BWP engages any independent solicitor(s) in the future, this policy will be amended.</w:t>
      </w:r>
    </w:p>
    <w:p>
      <w:pPr>
        <w:pStyle w:val="Heading1"/>
        <w:keepNext/>
        <w:keepLines/>
        <w:spacing w:after="120" w:before="240"/>
      </w:pPr>
      <w:r>
        <w:rPr>
          <w:rFonts w:ascii="Arial" w:cs="Arial" w:eastAsia="Arial" w:hAnsi="Arial"/>
          <w:b/>
          <w:bCs/>
          <w:color w:val="1B3A5C"/>
          <w:sz w:val="32"/>
          <w:szCs w:val="32"/>
        </w:rPr>
        <w:t xml:space="preserve">Gifts &amp; Entertainment Policy</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Securities regulators have recommended that investment advisory firms have policies and procedures regarding limitations on the acceptance of gifts and the conflicts of interest related to gift giving and the receipt of gifts. The term "gift" includes the giving or receipt of gratuities, merchandise, service, and the enjoyment or use of property or facilities for personal use, as well as meals, tickets to events and other entertainment that does not qualify as "business entertainment."</w:t>
      </w:r>
    </w:p>
    <w:p>
      <w:pPr>
        <w:spacing w:after="80" w:line="276" w:lineRule="auto"/>
      </w:pPr>
      <w:r>
        <w:rPr>
          <w:rFonts w:ascii="Arial" w:cs="Arial" w:eastAsia="Arial" w:hAnsi="Arial"/>
          <w:b/>
          <w:bCs/>
          <w:color w:val="1A1A1A"/>
          <w:sz w:val="24"/>
          <w:szCs w:val="24"/>
        </w:rPr>
        <w:t xml:space="preserve">Policy: </w:t>
      </w:r>
    </w:p>
    <w:p>
      <w:pPr>
        <w:spacing w:after="120" w:line="276" w:lineRule="auto"/>
      </w:pPr>
      <w:r>
        <w:rPr>
          <w:rFonts w:ascii="Arial" w:cs="Arial" w:eastAsia="Arial" w:hAnsi="Arial"/>
          <w:color w:val="1A1A1A"/>
          <w:sz w:val="24"/>
          <w:szCs w:val="24"/>
        </w:rPr>
        <w:t xml:space="preserve">Accepting Gifts: Supervised persons of BWP may accept gifts of nominal value (i.e., a gift whose reasonable value, alone or in the aggregate, is not more than $50 in any twelve-month period), customary business meals, entertainment, and promotional items. All gifts received by any staff member must be promptly reported to the CCO for approval and record-keeping.</w:t>
      </w:r>
    </w:p>
    <w:p>
      <w:pPr>
        <w:spacing w:after="120" w:line="276" w:lineRule="auto"/>
      </w:pPr>
      <w:r>
        <w:rPr>
          <w:rFonts w:ascii="Arial" w:cs="Arial" w:eastAsia="Arial" w:hAnsi="Arial"/>
          <w:color w:val="1A1A1A"/>
          <w:sz w:val="24"/>
          <w:szCs w:val="24"/>
        </w:rPr>
        <w:t xml:space="preserve">Giving Gifts: Supervised persons of BWP may not give any gift with a value in excess of $50 (per year) to an advisory client or persons who do business with, regulate, advise or render professional services to BWP.</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Do not accept gifts, favors, entertainment, or other things of value which could influence a staff member’s decision-making or make a staff member feel beholden to a person or an Outside Entity.</w:t>
      </w:r>
    </w:p>
    <w:p>
      <w:pPr>
        <w:pStyle w:val="ListParagraph"/>
        <w:numPr>
          <w:ilvl w:val="0"/>
          <w:numId w:val="1"/>
        </w:numPr>
        <w:spacing w:after="80" w:line="276" w:lineRule="auto"/>
      </w:pPr>
      <w:r>
        <w:rPr>
          <w:rFonts w:ascii="Arial" w:cs="Arial" w:eastAsia="Arial" w:hAnsi="Arial"/>
          <w:color w:val="1A1A1A"/>
          <w:sz w:val="24"/>
          <w:szCs w:val="24"/>
        </w:rPr>
        <w:t xml:space="preserve">Supervised persons may attend business meals, business-related conferences, sporting events, and other entertainment events at the expense of the giver, so long as the expense is reasonable and both the staff member and the giver are present.</w:t>
      </w:r>
    </w:p>
    <w:p>
      <w:pPr>
        <w:pStyle w:val="ListParagraph"/>
        <w:numPr>
          <w:ilvl w:val="0"/>
          <w:numId w:val="1"/>
        </w:numPr>
        <w:spacing w:after="80" w:line="276" w:lineRule="auto"/>
      </w:pPr>
      <w:r>
        <w:rPr>
          <w:rFonts w:ascii="Arial" w:cs="Arial" w:eastAsia="Arial" w:hAnsi="Arial"/>
          <w:color w:val="1A1A1A"/>
          <w:sz w:val="24"/>
          <w:szCs w:val="24"/>
        </w:rPr>
        <w:t xml:space="preserve">All supervised persons are required to report gifts given and received to the CCO. The CCO will document in the Gift &amp; Gratuities Log.</w:t>
      </w:r>
    </w:p>
    <w:p>
      <w:pPr>
        <w:pStyle w:val="Heading1"/>
        <w:keepNext/>
        <w:keepLines/>
        <w:spacing w:after="120" w:before="240"/>
      </w:pPr>
      <w:r>
        <w:rPr>
          <w:rFonts w:ascii="Arial" w:cs="Arial" w:eastAsia="Arial" w:hAnsi="Arial"/>
          <w:b/>
          <w:bCs/>
          <w:color w:val="1B3A5C"/>
          <w:sz w:val="32"/>
          <w:szCs w:val="32"/>
        </w:rPr>
        <w:t xml:space="preserve">Pay to Play</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For state or local elections, supervised persons are limited to contributions of no more than $350.00 to any one official, per election, for whom they are entitled to vote for at the time of the contributions. For officials for whom the staff member is not entitled to vote for at the time of contribution, the total amount of contributions may not exceed $150.00 per election for state or local elections.</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Before a contribution is made, a request to the CCO must be made. The request is then reviewed and either approved or denied.</w:t>
      </w:r>
    </w:p>
    <w:p>
      <w:pPr>
        <w:pStyle w:val="ListParagraph"/>
        <w:numPr>
          <w:ilvl w:val="0"/>
          <w:numId w:val="1"/>
        </w:numPr>
        <w:spacing w:after="80" w:line="276" w:lineRule="auto"/>
      </w:pPr>
      <w:r>
        <w:rPr>
          <w:rFonts w:ascii="Arial" w:cs="Arial" w:eastAsia="Arial" w:hAnsi="Arial"/>
          <w:color w:val="1A1A1A"/>
          <w:sz w:val="24"/>
          <w:szCs w:val="24"/>
        </w:rPr>
        <w:t xml:space="preserve">If approved, the contribution will be recorded and tracked in a Political Contributions Log.</w:t>
      </w:r>
    </w:p>
    <w:p>
      <w:pPr>
        <w:pStyle w:val="ListParagraph"/>
        <w:numPr>
          <w:ilvl w:val="0"/>
          <w:numId w:val="1"/>
        </w:numPr>
        <w:spacing w:after="80" w:line="276" w:lineRule="auto"/>
      </w:pPr>
      <w:r>
        <w:rPr>
          <w:rFonts w:ascii="Arial" w:cs="Arial" w:eastAsia="Arial" w:hAnsi="Arial"/>
          <w:color w:val="1A1A1A"/>
          <w:sz w:val="24"/>
          <w:szCs w:val="24"/>
        </w:rPr>
        <w:t xml:space="preserve">If contributions exceed the allowable de-minimis amount, Advisor may not provide investment advisory services for compensation to that government entity for two years after the contribution.</w:t>
      </w:r>
    </w:p>
    <w:p>
      <w:pPr>
        <w:pStyle w:val="Heading1"/>
        <w:keepNext/>
        <w:keepLines/>
        <w:spacing w:after="120" w:before="240"/>
      </w:pPr>
      <w:r>
        <w:rPr>
          <w:rFonts w:ascii="Arial" w:cs="Arial" w:eastAsia="Arial" w:hAnsi="Arial"/>
          <w:b/>
          <w:bCs/>
          <w:color w:val="1B3A5C"/>
          <w:sz w:val="32"/>
          <w:szCs w:val="32"/>
        </w:rPr>
        <w:t xml:space="preserve">Anti-Money Laundering (AML) Policy</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Securities Regulators have recommended investment advisory firms to adopt and enforce policies, procedures and controls with the objective of detecting and deterring the occurrence of money laundering, terrorist financing and other illegal activity.</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Supervised persons shall keep abreast of red flags to detect suspicious activity that may be a sign of money laundering.</w:t>
      </w:r>
    </w:p>
    <w:p>
      <w:pPr>
        <w:spacing w:after="120" w:line="276" w:lineRule="auto"/>
      </w:pPr>
      <w:r>
        <w:rPr>
          <w:rFonts w:ascii="Arial" w:cs="Arial" w:eastAsia="Arial" w:hAnsi="Arial"/>
          <w:color w:val="1A1A1A"/>
          <w:sz w:val="24"/>
          <w:szCs w:val="24"/>
        </w:rPr>
        <w:t xml:space="preserve">Red flags include: client uses false ID or alters transaction upon learning that he/she must show ID; clients refusing or delaying providing client background information; frequent large purchases or movement of funds; excessive frequency of contributions and redemptions; multiple transfers to foreign bank accounts; and transactions in cash or checks just under $10,000.</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All supervised persons must report suspicious activity to the CCO.</w:t>
      </w:r>
    </w:p>
    <w:p>
      <w:pPr>
        <w:pStyle w:val="ListParagraph"/>
        <w:numPr>
          <w:ilvl w:val="0"/>
          <w:numId w:val="1"/>
        </w:numPr>
        <w:spacing w:after="80" w:line="276" w:lineRule="auto"/>
      </w:pPr>
      <w:r>
        <w:rPr>
          <w:rFonts w:ascii="Arial" w:cs="Arial" w:eastAsia="Arial" w:hAnsi="Arial"/>
          <w:color w:val="1A1A1A"/>
          <w:sz w:val="24"/>
          <w:szCs w:val="24"/>
        </w:rPr>
        <w:t xml:space="preserve">The CCO shall ensure Suspicious Activity Reports (SAR-SFs) are filed when required by applicable law and regulations.</w:t>
      </w:r>
    </w:p>
    <w:p>
      <w:pPr>
        <w:pStyle w:val="ListParagraph"/>
        <w:numPr>
          <w:ilvl w:val="0"/>
          <w:numId w:val="1"/>
        </w:numPr>
        <w:spacing w:after="80" w:line="276" w:lineRule="auto"/>
      </w:pPr>
      <w:r>
        <w:rPr>
          <w:rFonts w:ascii="Arial" w:cs="Arial" w:eastAsia="Arial" w:hAnsi="Arial"/>
          <w:color w:val="1A1A1A"/>
          <w:sz w:val="24"/>
          <w:szCs w:val="24"/>
        </w:rPr>
        <w:t xml:space="preserve">The CCO shall work with the client’s custodian to help assist with any AML requirements or identity verification.</w:t>
      </w:r>
    </w:p>
    <w:p>
      <w:pPr>
        <w:pStyle w:val="Heading1"/>
        <w:keepNext/>
        <w:keepLines/>
        <w:spacing w:after="120" w:before="240"/>
      </w:pPr>
      <w:r>
        <w:rPr>
          <w:rFonts w:ascii="Arial" w:cs="Arial" w:eastAsia="Arial" w:hAnsi="Arial"/>
          <w:b/>
          <w:bCs/>
          <w:color w:val="1B3A5C"/>
          <w:sz w:val="32"/>
          <w:szCs w:val="32"/>
        </w:rPr>
        <w:t xml:space="preserve">Branch Offices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shall disclose any branch offices in Part 1A of Form ADV. Advisor shall research if an additional Form BR or fee is required in the jurisdiction in which it maintains a branch office. Branch office locations shall always be subject to an internal audit by the CCO.</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BWP shall maintain a list of all branch offices and personnel assigned to each location.</w:t>
      </w:r>
    </w:p>
    <w:p>
      <w:pPr>
        <w:pStyle w:val="ListParagraph"/>
        <w:numPr>
          <w:ilvl w:val="0"/>
          <w:numId w:val="1"/>
        </w:numPr>
        <w:spacing w:after="80" w:line="276" w:lineRule="auto"/>
      </w:pPr>
      <w:r>
        <w:rPr>
          <w:rFonts w:ascii="Arial" w:cs="Arial" w:eastAsia="Arial" w:hAnsi="Arial"/>
          <w:color w:val="1A1A1A"/>
          <w:sz w:val="24"/>
          <w:szCs w:val="24"/>
        </w:rPr>
        <w:t xml:space="preserve">On an annual basis, the CCO shall conduct a review of all branch offices.</w:t>
      </w:r>
    </w:p>
    <w:p>
      <w:pPr>
        <w:pStyle w:val="Heading2"/>
        <w:keepNext/>
        <w:keepLines/>
        <w:spacing w:after="100" w:before="200"/>
      </w:pPr>
      <w:r>
        <w:rPr>
          <w:rFonts w:ascii="Arial" w:cs="Arial" w:eastAsia="Arial" w:hAnsi="Arial"/>
          <w:b/>
          <w:bCs/>
          <w:color w:val="2E6B9E"/>
          <w:sz w:val="28"/>
          <w:szCs w:val="28"/>
        </w:rPr>
        <w:t xml:space="preserve">Remote Office Supervision</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Employees are allowed to work from home only if their job duties permit it and if they adhere to BWP’s cybersecurity policy and this Manual.</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Prior to allowing work from home arrangement, all employees must be trained on the use of firm technology, tools and services in a remote work environment.</w:t>
      </w:r>
    </w:p>
    <w:p>
      <w:pPr>
        <w:pStyle w:val="ListParagraph"/>
        <w:numPr>
          <w:ilvl w:val="0"/>
          <w:numId w:val="1"/>
        </w:numPr>
        <w:spacing w:after="80" w:line="276" w:lineRule="auto"/>
      </w:pPr>
      <w:r>
        <w:rPr>
          <w:rFonts w:ascii="Arial" w:cs="Arial" w:eastAsia="Arial" w:hAnsi="Arial"/>
          <w:color w:val="1A1A1A"/>
          <w:sz w:val="24"/>
          <w:szCs w:val="24"/>
        </w:rPr>
        <w:t xml:space="preserve">BWP shall ensure that the correct technology and security measures are in place for employees who are working from home, including VPNs, supervision systems, and data protection safeguards.</w:t>
      </w:r>
    </w:p>
    <w:p>
      <w:pPr>
        <w:pStyle w:val="Heading1"/>
        <w:keepNext/>
        <w:keepLines/>
        <w:spacing w:after="120" w:before="240"/>
      </w:pPr>
      <w:r>
        <w:rPr>
          <w:rFonts w:ascii="Arial" w:cs="Arial" w:eastAsia="Arial" w:hAnsi="Arial"/>
          <w:b/>
          <w:bCs/>
          <w:color w:val="1B3A5C"/>
          <w:sz w:val="32"/>
          <w:szCs w:val="32"/>
        </w:rPr>
        <w:t xml:space="preserve">Financial Reporting &amp; Net Worth Requirements</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State Regulators impose minimum financial requirements on Investment Advisers. All Investment Advisers are required to disclose if the firm takes on any financial commitment that impairs its ability to meet contractual and fiduciary commitments to its clients.</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will periodically review and ensure compliance with financial reporting requirements of its primary jurisdiction, including ensuring the firm maintains any minimum asset level and/or bonding requirements. At a minimum, BWP will ensure it always remains solvent.</w:t>
      </w:r>
    </w:p>
    <w:p>
      <w:pPr>
        <w:pStyle w:val="Heading2"/>
        <w:keepNext/>
        <w:keepLines/>
        <w:spacing w:after="100" w:before="200"/>
      </w:pPr>
      <w:r>
        <w:rPr>
          <w:rFonts w:ascii="Arial" w:cs="Arial" w:eastAsia="Arial" w:hAnsi="Arial"/>
          <w:b/>
          <w:bCs/>
          <w:color w:val="2E6B9E"/>
          <w:sz w:val="28"/>
          <w:szCs w:val="28"/>
        </w:rPr>
        <w:t xml:space="preserve">Quarterly Financial Statements (OAC 1301:6-3-15.1(E)(1)(f))</w:t>
      </w:r>
    </w:p>
    <w:p>
      <w:pPr>
        <w:spacing w:after="80" w:line="276" w:lineRule="auto"/>
      </w:pPr>
      <w:r>
        <w:rPr>
          <w:rFonts w:ascii="Arial" w:cs="Arial" w:eastAsia="Arial" w:hAnsi="Arial"/>
          <w:b/>
          <w:bCs/>
          <w:color w:val="1A1A1A"/>
          <w:sz w:val="24"/>
          <w:szCs w:val="24"/>
        </w:rPr>
        <w:t xml:space="preserve">Background: </w:t>
      </w:r>
      <w:r>
        <w:rPr>
          <w:rFonts w:ascii="Arial" w:cs="Arial" w:eastAsia="Arial" w:hAnsi="Arial"/>
          <w:color w:val="1A1A1A"/>
          <w:sz w:val="24"/>
          <w:szCs w:val="24"/>
        </w:rPr>
        <w:t xml:space="preserve">Ohio law requires investment advisers to maintain quarterly balance sheets and income statements as part of the books and records requirement (OAC 1301:6-3-15.1(E)(1)(f)).</w:t>
      </w:r>
    </w:p>
    <w:p>
      <w:pPr>
        <w:spacing w:after="80" w:line="276" w:lineRule="auto"/>
      </w:pPr>
      <w:r>
        <w:rPr>
          <w:rFonts w:ascii="Arial" w:cs="Arial" w:eastAsia="Arial" w:hAnsi="Arial"/>
          <w:b/>
          <w:bCs/>
          <w:color w:val="1A1A1A"/>
          <w:sz w:val="24"/>
          <w:szCs w:val="24"/>
        </w:rPr>
        <w:t xml:space="preserve">Policy: </w:t>
      </w:r>
      <w:r>
        <w:rPr>
          <w:rFonts w:ascii="Arial" w:cs="Arial" w:eastAsia="Arial" w:hAnsi="Arial"/>
          <w:color w:val="1A1A1A"/>
          <w:sz w:val="24"/>
          <w:szCs w:val="24"/>
        </w:rPr>
        <w:t xml:space="preserve">BWP shall maintain quarterly balance sheets and income statements as required by Ohio law. These financial statements shall be prepared within a reasonable time following each calendar quarter-end and retained for five (5) years per the books and records retention requirement.</w:t>
      </w:r>
    </w:p>
    <w:p>
      <w:pPr>
        <w:pStyle w:val="Heading3"/>
        <w:keepNext/>
        <w:keepLines/>
        <w:spacing w:after="80" w:before="160"/>
      </w:pPr>
      <w:r>
        <w:rPr>
          <w:rFonts w:ascii="Arial" w:cs="Arial" w:eastAsia="Arial" w:hAnsi="Arial"/>
          <w:b/>
          <w:bCs/>
          <w:color w:val="1A1A1A"/>
          <w:sz w:val="24"/>
          <w:szCs w:val="24"/>
        </w:rPr>
        <w:t xml:space="preserve">Procedures</w:t>
      </w:r>
    </w:p>
    <w:p>
      <w:pPr>
        <w:pStyle w:val="ListParagraph"/>
        <w:numPr>
          <w:ilvl w:val="0"/>
          <w:numId w:val="1"/>
        </w:numPr>
        <w:spacing w:after="80" w:line="276" w:lineRule="auto"/>
      </w:pPr>
      <w:r>
        <w:rPr>
          <w:rFonts w:ascii="Arial" w:cs="Arial" w:eastAsia="Arial" w:hAnsi="Arial"/>
          <w:color w:val="1A1A1A"/>
          <w:sz w:val="24"/>
          <w:szCs w:val="24"/>
        </w:rPr>
        <w:t xml:space="preserve">The CCO shall be responsible for ensuring quarterly financial statements are prepared within a reasonable time after each quarter-end (March 31, June 30, September 30, December 31).</w:t>
      </w:r>
    </w:p>
    <w:p>
      <w:pPr>
        <w:pStyle w:val="ListParagraph"/>
        <w:numPr>
          <w:ilvl w:val="0"/>
          <w:numId w:val="1"/>
        </w:numPr>
        <w:spacing w:after="80" w:line="276" w:lineRule="auto"/>
      </w:pPr>
      <w:r>
        <w:rPr>
          <w:rFonts w:ascii="Arial" w:cs="Arial" w:eastAsia="Arial" w:hAnsi="Arial"/>
          <w:color w:val="1A1A1A"/>
          <w:sz w:val="24"/>
          <w:szCs w:val="24"/>
        </w:rPr>
        <w:t xml:space="preserve">Financial statements shall be retained in accordance with the Books and Records retention policy (minimum five (5) years).</w:t>
      </w:r>
    </w:p>
    <w:p>
      <w:pPr>
        <w:pStyle w:val="Heading1"/>
        <w:keepNext/>
        <w:keepLines/>
        <w:spacing w:after="120" w:before="240"/>
      </w:pPr>
      <w:r>
        <w:rPr>
          <w:rFonts w:ascii="Arial" w:cs="Arial" w:eastAsia="Arial" w:hAnsi="Arial"/>
          <w:b/>
          <w:bCs/>
          <w:color w:val="1B3A5C"/>
          <w:sz w:val="32"/>
          <w:szCs w:val="32"/>
        </w:rPr>
        <w:t xml:space="preserve">Compliance Certification</w:t>
      </w:r>
    </w:p>
    <w:p>
      <w:pPr>
        <w:spacing w:after="120" w:line="276" w:lineRule="auto"/>
      </w:pPr>
      <w:r>
        <w:rPr>
          <w:rFonts w:ascii="Arial" w:cs="Arial" w:eastAsia="Arial" w:hAnsi="Arial"/>
          <w:color w:val="1A1A1A"/>
          <w:sz w:val="24"/>
          <w:szCs w:val="24"/>
        </w:rPr>
        <w:t xml:space="preserve">I have been given, have access to, have read and understand the BWP’s Compliance Manual. I recognize that I am subject to the policies contained within the Compliance Manual and agree to comply with all provisions of the Compliance Manual applicable to me.</w:t>
      </w:r>
    </w:p>
    <w:p>
      <w:pPr>
        <w:spacing w:after="120" w:line="276" w:lineRule="auto"/>
      </w:pPr>
      <w:r>
        <w:rPr>
          <w:rFonts w:ascii="Arial" w:cs="Arial" w:eastAsia="Arial" w:hAnsi="Arial"/>
          <w:color w:val="1A1A1A"/>
          <w:sz w:val="24"/>
          <w:szCs w:val="24"/>
        </w:rPr>
        <w:t xml:space="preserve"/>
      </w:r>
    </w:p>
    <w:p>
      <w:pPr>
        <w:spacing w:after="120" w:line="276" w:lineRule="auto"/>
      </w:pPr>
      <w:r>
        <w:rPr>
          <w:rFonts w:ascii="Arial" w:cs="Arial" w:eastAsia="Arial" w:hAnsi="Arial"/>
          <w:color w:val="1A1A1A"/>
          <w:sz w:val="24"/>
          <w:szCs w:val="24"/>
        </w:rPr>
        <w:t xml:space="preserve"/>
      </w:r>
    </w:p>
    <w:p>
      <w:pPr>
        <w:spacing w:after="120" w:line="276" w:lineRule="auto"/>
      </w:pPr>
      <w:r>
        <w:rPr>
          <w:rFonts w:ascii="Arial" w:cs="Arial" w:eastAsia="Arial" w:hAnsi="Arial"/>
          <w:color w:val="1A1A1A"/>
          <w:sz w:val="24"/>
          <w:szCs w:val="24"/>
        </w:rPr>
        <w:t xml:space="preserve">Signed: _________________________________________     Date: ____________________</w:t>
      </w:r>
    </w:p>
    <w:p>
      <w:pPr>
        <w:spacing w:after="120" w:line="276" w:lineRule="auto"/>
      </w:pPr>
      <w:r>
        <w:rPr>
          <w:rFonts w:ascii="Arial" w:cs="Arial" w:eastAsia="Arial" w:hAnsi="Arial"/>
          <w:color w:val="1A1A1A"/>
          <w:sz w:val="24"/>
          <w:szCs w:val="24"/>
        </w:rPr>
        <w:t xml:space="preserve"/>
      </w:r>
    </w:p>
    <w:p>
      <w:pPr>
        <w:spacing w:after="120" w:line="276" w:lineRule="auto"/>
      </w:pPr>
      <w:r>
        <w:rPr>
          <w:rFonts w:ascii="Arial" w:cs="Arial" w:eastAsia="Arial" w:hAnsi="Arial"/>
          <w:color w:val="1A1A1A"/>
          <w:sz w:val="24"/>
          <w:szCs w:val="24"/>
        </w:rPr>
        <w:t xml:space="preserve">Printed Name: ___________________________________     Title: ___________________</w:t>
      </w:r>
    </w:p>
    <w:p>
      <w:pPr>
        <w:spacing w:after="120" w:line="276" w:lineRule="auto"/>
      </w:pPr>
      <w:r>
        <w:rPr>
          <w:rFonts w:ascii="Arial" w:cs="Arial" w:eastAsia="Arial" w:hAnsi="Arial"/>
          <w:color w:val="1A1A1A"/>
          <w:sz w:val="24"/>
          <w:szCs w:val="24"/>
        </w:rPr>
        <w:t xml:space="preserve"/>
      </w:r>
    </w:p>
    <w:p>
      <w:pPr>
        <w:pBdr>
          <w:bottom w:color="CCCCCC" w:sz="6" w:space="1"/>
        </w:pBdr>
        <w:spacing w:after="160" w:before="160"/>
      </w:pPr>
    </w:p>
    <w:p>
      <w:pPr>
        <w:spacing w:after="120" w:before="240"/>
        <w:jc w:val="center"/>
      </w:pPr>
      <w:r>
        <w:rPr>
          <w:rFonts w:ascii="Arial" w:cs="Arial" w:eastAsia="Arial" w:hAnsi="Arial"/>
          <w:i/>
          <w:iCs/>
          <w:color w:val="666666"/>
          <w:sz w:val="18"/>
          <w:szCs w:val="18"/>
        </w:rPr>
        <w:t xml:space="preserve">Buckeye Wealth Partners LLC  |  CRD# 126428  |  Ohio Division of Securities  |  Version v.04.2026  |  Effective April 13,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BWP Compliance Manual v.04.2026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outlineLvl w:val="0"/>
    </w:pPr>
    <w:rPr>
      <w:rFonts w:ascii="Arial" w:cs="Arial" w:eastAsia="Arial" w:hAnsi="Arial"/>
      <w:b/>
      <w:bCs/>
      <w:sz w:val="32"/>
      <w:szCs w:val="32"/>
    </w:rPr>
  </w:style>
  <w:style w:type="paragraph" w:styleId="Heading2">
    <w:name w:val="Heading 2"/>
    <w:basedOn w:val="Normal"/>
    <w:next w:val="Normal"/>
    <w:qFormat/>
    <w:pPr>
      <w:keepNext/>
      <w:keepLines/>
      <w:spacing w:after="100" w:before="200"/>
      <w:outlineLvl w:val="1"/>
    </w:pPr>
    <w:rPr>
      <w:rFonts w:ascii="Arial" w:cs="Arial" w:eastAsia="Arial" w:hAnsi="Arial"/>
      <w:b/>
      <w:bCs/>
      <w:sz w:val="28"/>
      <w:szCs w:val="28"/>
    </w:rPr>
  </w:style>
  <w:style w:type="paragraph" w:styleId="Heading3">
    <w:name w:val="Heading 3"/>
    <w:basedOn w:val="Normal"/>
    <w:next w:val="Normal"/>
    <w:qFormat/>
    <w:pPr>
      <w:keepNext/>
      <w:keepLines/>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2026-04-13T14:30:05.641Z</dcterms:created>
  <dcterms:modified xsi:type="dcterms:W3CDTF">2026-04-13T14:30:05.641Z</dcterms:modified>
</cp:coreProperties>
</file>

<file path=docProps/custom.xml><?xml version="1.0" encoding="utf-8"?>
<Properties xmlns="http://schemas.openxmlformats.org/officeDocument/2006/custom-properties" xmlns:vt="http://schemas.openxmlformats.org/officeDocument/2006/docPropsVTypes"/>
</file>