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sz w:val="2"/>
          <w:szCs w:val="2"/>
        </w:rPr>
        <w:t xml:space="preserve"/>
      </w:r>
    </w:p>
    <w:p>
      <w:pPr>
        <w:spacing w:after="100" w:before="0"/>
        <w:jc w:val="center"/>
      </w:pPr>
      <w:r>
        <w:rPr>
          <w:rFonts w:ascii="Arial" w:cs="Arial" w:eastAsia="Arial" w:hAnsi="Arial"/>
          <w:b/>
          <w:bCs/>
          <w:color w:val="1B3A5C"/>
          <w:sz w:val="36"/>
          <w:szCs w:val="36"/>
        </w:rPr>
        <w:t xml:space="preserve">BUCKEYE WEALTH PARTNERS LLC</w:t>
      </w:r>
    </w:p>
    <w:p>
      <w:pPr>
        <w:spacing w:after="80" w:before="0"/>
        <w:jc w:val="center"/>
      </w:pPr>
      <w:r>
        <w:rPr>
          <w:rFonts w:ascii="Arial" w:cs="Arial" w:eastAsia="Arial" w:hAnsi="Arial"/>
          <w:b/>
          <w:bCs/>
          <w:color w:val="1B3A5C"/>
          <w:sz w:val="32"/>
          <w:szCs w:val="32"/>
        </w:rPr>
        <w:t xml:space="preserve">Investment Advisory Contract</w:t>
      </w:r>
    </w:p>
    <w:p>
      <w:pPr>
        <w:spacing w:after="60" w:before="0"/>
        <w:jc w:val="center"/>
      </w:pPr>
      <w:r>
        <w:rPr>
          <w:rFonts w:ascii="Arial" w:cs="Arial" w:eastAsia="Arial" w:hAnsi="Arial"/>
          <w:color w:val="666666"/>
          <w:sz w:val="22"/>
          <w:szCs w:val="22"/>
        </w:rPr>
        <w:t xml:space="preserve">Version v.04.2026  |  Effective Date: April 13, 2026</w:t>
      </w:r>
    </w:p>
    <w:p>
      <w:pPr>
        <w:spacing w:after="200" w:before="0"/>
        <w:jc w:val="center"/>
      </w:pPr>
      <w:r>
        <w:rPr>
          <w:rFonts w:ascii="Arial" w:cs="Arial" w:eastAsia="Arial" w:hAnsi="Arial"/>
          <w:color w:val="666666"/>
          <w:sz w:val="22"/>
          <w:szCs w:val="22"/>
        </w:rPr>
        <w:t xml:space="preserve">203 W Franklin St, Dayton, OH 45459  |  (937) 434-1790  |  CRD# 126428</w:t>
      </w:r>
    </w:p>
    <w:p>
      <w:pPr>
        <w:pBdr>
          <w:bottom w:val="single" w:color="CCCCCC"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1B3A5C" w:sz="8"/>
              <w:left w:val="single" w:color="1B3A5C" w:sz="8"/>
              <w:bottom w:val="single" w:color="1B3A5C" w:sz="8"/>
              <w:right w:val="single" w:color="1B3A5C" w:sz="8"/>
            </w:tcBorders>
            <w:shd w:fill="F5F7FA" w:color="F5F7FA" w:val="clear"/>
            <w:tcMar>
              <w:top w:type="dxa" w:w="120"/>
              <w:left w:type="dxa" w:w="180"/>
              <w:bottom w:type="dxa" w:w="120"/>
              <w:right w:type="dxa" w:w="180"/>
            </w:tcMar>
          </w:tcPr>
          <w:p>
            <w:pPr>
              <w:spacing w:after="80" w:before="80"/>
            </w:pPr>
            <w:r>
              <w:rPr>
                <w:rFonts w:ascii="Arial" w:cs="Arial" w:eastAsia="Arial" w:hAnsi="Arial"/>
                <w:i/>
                <w:iCs/>
                <w:color w:val="1A1A1A"/>
                <w:sz w:val="22"/>
                <w:szCs w:val="22"/>
              </w:rPr>
              <w:t xml:space="preserve">CONFIDENTIAL — This Agreement is intended solely for the named Client(s). It contains non-public financial information and constitutes a legally binding contract between the Client and Buckeye Wealth Partners LLC, an Ohio state-registered investment adviser (CRD# 126428). Do not distribute without authorization.</w:t>
            </w:r>
          </w:p>
        </w:tc>
      </w:tr>
    </w:tbl>
    <w:p>
      <w:pPr>
        <w:spacing w:after="240"/>
      </w:pPr>
      <w:r>
        <w:rPr>
          <w:sz w:val="2"/>
          <w:szCs w:val="2"/>
        </w:rPr>
        <w:t xml:space="preserve"/>
      </w:r>
    </w:p>
    <w:p>
      <w:pPr>
        <w:spacing w:after="120" w:before="0" w:line="276" w:lineRule="auto"/>
      </w:pPr>
      <w:r>
        <w:rPr>
          <w:rFonts w:ascii="Arial" w:cs="Arial" w:eastAsia="Arial" w:hAnsi="Arial"/>
          <w:color w:val="1A1A1A"/>
          <w:sz w:val="24"/>
          <w:szCs w:val="24"/>
        </w:rPr>
        <w:t xml:space="preserve">The undersigned (“Client”), being duly authorized, has established an account(s) (the “Account(s)”) and hereby agrees to engage Buckeye Wealth Partners, LLC, as its Investment Advisor (“IA”) on the following terms and conditions.</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Fiduciary Duty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1B3A5C" w:sz="8"/>
              <w:left w:val="single" w:color="1B3A5C" w:sz="8"/>
              <w:bottom w:val="single" w:color="1B3A5C" w:sz="8"/>
              <w:right w:val="single" w:color="1B3A5C" w:sz="8"/>
            </w:tcBorders>
            <w:shd w:fill="F5F7FA" w:color="F5F7FA" w:val="clear"/>
            <w:tcMar>
              <w:top w:type="dxa" w:w="120"/>
              <w:left w:type="dxa" w:w="180"/>
              <w:bottom w:type="dxa" w:w="120"/>
              <w:right w:type="dxa" w:w="180"/>
            </w:tcMar>
          </w:tcPr>
          <w:p>
            <w:pPr>
              <w:spacing w:after="80" w:before="80"/>
            </w:pPr>
            <w:r>
              <w:rPr>
                <w:rFonts w:ascii="Arial" w:cs="Arial" w:eastAsia="Arial" w:hAnsi="Arial"/>
                <w:i/>
                <w:iCs/>
                <w:color w:val="1A1A1A"/>
                <w:sz w:val="22"/>
                <w:szCs w:val="22"/>
              </w:rPr>
              <w:t xml:space="preserve">BWP is a fiduciary to the Client. BWP shall act in the Client’s best interest at all times, providing full and fair disclosure of all material facts and conflicts of interest. As an Ohio state-registered investment adviser, BWP owes the Client a fiduciary duty comprising a duty of care and a duty of loyalty. BWP shall not subordinate the Client’s interests to its own. For further information, please refer to BWP’s Form ADV Part 2A, available at www.adviserinfo.sec.gov.</w:t>
            </w:r>
          </w:p>
        </w:tc>
      </w:tr>
    </w:tbl>
    <w:p>
      <w:pPr>
        <w:spacing w:after="12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Appointment of IA</w:t>
      </w:r>
    </w:p>
    <w:p>
      <w:pPr>
        <w:spacing w:after="120" w:before="0" w:line="276" w:lineRule="auto"/>
      </w:pPr>
      <w:r>
        <w:rPr>
          <w:rFonts w:ascii="Arial" w:cs="Arial" w:eastAsia="Arial" w:hAnsi="Arial"/>
          <w:color w:val="1A1A1A"/>
          <w:sz w:val="24"/>
          <w:szCs w:val="24"/>
        </w:rPr>
        <w:t xml:space="preserve">Client hereby appoints IA as investment adviser for the Account. Client agrees to promptly notify IA in writing of any changes to the information contained on the Investment Policy Statement or other information pertinent to the Account and to provide IA with prior written notice of any changes in the identity of persons authorized to act on behalf of Client with respect to the Account.</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Services by IA</w:t>
      </w:r>
    </w:p>
    <w:p>
      <w:pPr>
        <w:spacing w:after="120" w:before="0" w:line="276" w:lineRule="auto"/>
      </w:pPr>
      <w:r>
        <w:rPr>
          <w:rFonts w:ascii="Arial" w:cs="Arial" w:eastAsia="Arial" w:hAnsi="Arial"/>
          <w:color w:val="1A1A1A"/>
          <w:sz w:val="24"/>
          <w:szCs w:val="24"/>
        </w:rPr>
        <w:t xml:space="preserve">By execution of this Agreement, IA hereby accepts the appointment as investment adviser for the Account and agrees, as of the effective date set forth in the signature page below, to supervise and direct the investments of the Account in accordance with the investment objectives of Client.</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It is understood and agreed that IA, in the maintenance of records for its own purposes, or in making such records or the information contained therein available to Client or any other person at the direction of Client, does not assume responsibility for the accuracy of information furnished by Client or any other person.</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Authority</w:t>
      </w:r>
    </w:p>
    <w:p>
      <w:pPr>
        <w:spacing w:after="120" w:before="0" w:line="276" w:lineRule="auto"/>
      </w:pPr>
      <w:r>
        <w:rPr>
          <w:rFonts w:ascii="Arial" w:cs="Arial" w:eastAsia="Arial" w:hAnsi="Arial"/>
          <w:color w:val="1A1A1A"/>
          <w:sz w:val="24"/>
          <w:szCs w:val="24"/>
        </w:rPr>
        <w:t xml:space="preserve">Except as otherwise set forth in this Agreement, Client authorizes IA to investigate, purchase, and sell on behalf of Client, various securities and investments. IA is authorized to execute purchases and sales on Client’s behalf without consulting Client regarding each individual sale or purchase.</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Client Accounts</w:t>
      </w:r>
    </w:p>
    <w:p>
      <w:pPr>
        <w:spacing w:after="120" w:before="0" w:line="276" w:lineRule="auto"/>
      </w:pPr>
      <w:r>
        <w:rPr>
          <w:rFonts w:ascii="Arial" w:cs="Arial" w:eastAsia="Arial" w:hAnsi="Arial"/>
          <w:color w:val="1A1A1A"/>
          <w:sz w:val="24"/>
          <w:szCs w:val="24"/>
        </w:rPr>
        <w:t xml:space="preserve">Client has opened or will open an account with a custodian (the “Custodian”) for the execution of securities transactions and custodial services. The Custodian at the time this Agreement is executed is identified in Exhibit III hereto. All funds/securities will be delivered between Client and the Custodian only. Client hereby authorizes IA to receive from the Custodian a copy of any agreement between Client and the Custodian in effect at any time with respect to the Account.</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Services to Other Clients</w:t>
      </w:r>
    </w:p>
    <w:p>
      <w:pPr>
        <w:spacing w:after="120" w:before="0" w:line="276" w:lineRule="auto"/>
      </w:pPr>
      <w:r>
        <w:rPr>
          <w:rFonts w:ascii="Arial" w:cs="Arial" w:eastAsia="Arial" w:hAnsi="Arial"/>
          <w:color w:val="1A1A1A"/>
          <w:sz w:val="24"/>
          <w:szCs w:val="24"/>
        </w:rPr>
        <w:t xml:space="preserve">It is understood that IA may perform investment advisory services for various clients and that the services provided by IA are offered and rendered on a non-exclusive basis. Client agrees that IA may give advice and take action in the performance of its duties with respect to any of its other clients which may differ with the advice given or action taken with respect to the Account. Nothing in this Agreement shall be deemed to confer upon IA any obligation to acquire for the Account a position in any security which IA, its principals, or its employees may acquire for its or their own accounts or for the account of any other client, if in the sole and absolute discretion of IA it is not for any reason practical or desirable to acquire a position in such security for the Account.</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Inside Information</w:t>
      </w:r>
    </w:p>
    <w:p>
      <w:pPr>
        <w:spacing w:after="120" w:before="0" w:line="276" w:lineRule="auto"/>
      </w:pPr>
      <w:r>
        <w:rPr>
          <w:rFonts w:ascii="Arial" w:cs="Arial" w:eastAsia="Arial" w:hAnsi="Arial"/>
          <w:color w:val="1A1A1A"/>
          <w:sz w:val="24"/>
          <w:szCs w:val="24"/>
        </w:rPr>
        <w:t xml:space="preserve">IA shall have no obligation to seek to obtain any material nonpublic (“inside”) information about any issuer of securities and shall not purchase, sell, or recommend for the Account the securities of any issuer based on any such information as may come into its possession.</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Liability</w:t>
      </w:r>
    </w:p>
    <w:p>
      <w:pPr>
        <w:spacing w:after="120" w:before="0" w:line="276" w:lineRule="auto"/>
      </w:pPr>
      <w:r>
        <w:rPr>
          <w:rFonts w:ascii="Arial" w:cs="Arial" w:eastAsia="Arial" w:hAnsi="Arial"/>
          <w:color w:val="1A1A1A"/>
          <w:sz w:val="24"/>
          <w:szCs w:val="24"/>
        </w:rPr>
        <w:t xml:space="preserve">IA shall not be liable to Client for any independent acts or omissions by third parties. A person who is not a party to this Agreement has no rights to enforce any term of this Agreement and this Agreement shall not be deemed to create any third-party beneficiary rights. Nothing in this Agreement shall operate as a waiver of any right Client may have under applicable federal or state securities laws, including but not limited to the Ohio Securities Act.</w:t>
      </w:r>
    </w:p>
    <w:p>
      <w:pPr>
        <w:spacing w:after="40"/>
      </w:pPr>
      <w:r>
        <w:rPr>
          <w:sz w:val="2"/>
          <w:szCs w:val="2"/>
        </w:rPr>
        <w:t xml:space="preserve"/>
      </w:r>
    </w:p>
    <w:p>
      <w:pPr>
        <w:spacing w:after="120" w:before="40"/>
      </w:pPr>
      <w:r>
        <w:rPr>
          <w:rFonts w:ascii="Arial" w:cs="Arial" w:eastAsia="Arial" w:hAnsi="Arial"/>
          <w:i/>
          <w:iCs/>
          <w:color w:val="666666"/>
          <w:sz w:val="20"/>
          <w:szCs w:val="20"/>
        </w:rPr>
        <w:t xml:space="preserve">Note: This limitation of liability is consistent with BWP’s fiduciary duty obligations. BWP remains fully responsible for its own negligence, willful misconduct, or violations of applicable securities laws.</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Proxies</w:t>
      </w:r>
    </w:p>
    <w:p>
      <w:pPr>
        <w:spacing w:after="120" w:before="0" w:line="276" w:lineRule="auto"/>
      </w:pPr>
      <w:r>
        <w:rPr>
          <w:rFonts w:ascii="Arial" w:cs="Arial" w:eastAsia="Arial" w:hAnsi="Arial"/>
          <w:color w:val="1A1A1A"/>
          <w:sz w:val="24"/>
          <w:szCs w:val="24"/>
        </w:rPr>
        <w:t xml:space="preserve">IA will not ask for, nor accept voting authority for client securities. Clients will receive proxies directly from the issuer of the security or the custodian. Clients should direct all proxy questions to the issuer of the security.</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Fees</w:t>
      </w:r>
    </w:p>
    <w:p>
      <w:pPr>
        <w:spacing w:after="120" w:before="0" w:line="276" w:lineRule="auto"/>
      </w:pPr>
      <w:r>
        <w:rPr>
          <w:rFonts w:ascii="Arial" w:cs="Arial" w:eastAsia="Arial" w:hAnsi="Arial"/>
          <w:color w:val="1A1A1A"/>
          <w:sz w:val="24"/>
          <w:szCs w:val="24"/>
        </w:rPr>
        <w:t xml:space="preserve">The compensation of IA for its services rendered hereunder shall be calculated in accordance with the Schedule of Fees attached hereto as Exhibit II. Client shall be given thirty (30) days’ prior written notice of any proposed increase in fees. Any increase in fees shall be accompanied by an amendment or the execution of a new contract, with signatures from both parties evidencing acceptance of the new fees. Fees are negotiable.</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Valuation</w:t>
      </w:r>
    </w:p>
    <w:p>
      <w:pPr>
        <w:spacing w:after="120" w:before="0" w:line="276" w:lineRule="auto"/>
      </w:pPr>
      <w:r>
        <w:rPr>
          <w:rFonts w:ascii="Arial" w:cs="Arial" w:eastAsia="Arial" w:hAnsi="Arial"/>
          <w:color w:val="1A1A1A"/>
          <w:sz w:val="24"/>
          <w:szCs w:val="24"/>
        </w:rPr>
        <w:t xml:space="preserve">In computing the market value of any investment of the Account, the securities in the Account listed on a national securities exchange or otherwise subject to current last-sale reporting shall be valued at the amount reported on the statement that Client receives from the Custodian. Such securities which are not traded nor subject to last-sale reporting shall be valued at the latest available bid price reflected by quotations furnished to IA by such sources as it may deem appropriate. Any other security shall be valued in such manner as shall be determined in good faith by IA and Client to reflect its fair market value.</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Representation by Client</w:t>
      </w:r>
    </w:p>
    <w:p>
      <w:pPr>
        <w:spacing w:after="120" w:before="0" w:line="276" w:lineRule="auto"/>
      </w:pPr>
      <w:r>
        <w:rPr>
          <w:rFonts w:ascii="Arial" w:cs="Arial" w:eastAsia="Arial" w:hAnsi="Arial"/>
          <w:color w:val="1A1A1A"/>
          <w:sz w:val="24"/>
          <w:szCs w:val="24"/>
        </w:rPr>
        <w:t xml:space="preserve">The execution and delivery of this Agreement by Client shall constitute the representation by Client that the terms hereof do not violate any obligation by which Client is bound, whether arising by contract, operation of law or otherwise; that if Client is an entity other than a natural person (a) this Agreement has been duly authorized by appropriate action and is binding upon Client in accordance with its terms and (b) Client will deliver to IA such evidence of such authority as IA may reasonably require, whether by way of a certified corporate resolution or otherwise; IA is responsible only for the Account and not for the diversification or prudent investment of any outside assets or holdings of Client.</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The following language of this section applies only if your Account is for a (a) pension or other employee benefit plan (including a 401(k) plan) governed by the Employee Retirement Income Security Act of 1974, as amended (“ERISA”); (b) tax-qualified retirement plan under section 401(a) of the Internal Revenue Code of 1986, as amended (the “Code”), and not covered by ERISA; or (c) an individual retirement account under the Code.</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Client represents that IA has been furnished true and complete copies of all documents establishing and governing the plan and evidencing Client authority to retain IA. Client acknowledges that Client is a “named fiduciary” with respect to the control or management of the assets in the Account. Client will furnish promptly to IA the governing plan documents, any amendment to the plan, and Client agrees that, if any amendment affects IA’s rights or obligations, then the amendment will be binding on IA only when agreed to by IA in writing. If the Account contains only a part of the assets of the plan, then Client understands that IA will have no responsibility for the diversification of all of the plan’s investments and that IA will have no duty, responsibility, or liability for Client assets that are not in the Account. If ERISA or other applicable law requires bonding with respect to the assets in the Account, then upon written request by IA, Client will obtain and maintain at Client expense bonding that satisfies the requirements of Section 412 of ERISA and covers IA and affiliated persons of IA.</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Representations by IA</w:t>
      </w:r>
    </w:p>
    <w:p>
      <w:pPr>
        <w:spacing w:after="120" w:before="0" w:line="276" w:lineRule="auto"/>
      </w:pPr>
      <w:r>
        <w:rPr>
          <w:rFonts w:ascii="Arial" w:cs="Arial" w:eastAsia="Arial" w:hAnsi="Arial"/>
          <w:color w:val="1A1A1A"/>
          <w:sz w:val="24"/>
          <w:szCs w:val="24"/>
        </w:rPr>
        <w:t xml:space="preserve">By execution of this Agreement, IA represents and confirms that it is registered as an investment adviser or exempt from registration pursuant to applicable laws and regulations. BWP is currently registered with the Ohio Division of Securities (CRD# 126428).</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Amendment or Termination</w:t>
      </w:r>
    </w:p>
    <w:p>
      <w:pPr>
        <w:spacing w:after="120" w:before="0" w:line="276" w:lineRule="auto"/>
      </w:pPr>
      <w:r>
        <w:rPr>
          <w:rFonts w:ascii="Arial" w:cs="Arial" w:eastAsia="Arial" w:hAnsi="Arial"/>
          <w:color w:val="1A1A1A"/>
          <w:sz w:val="24"/>
          <w:szCs w:val="24"/>
        </w:rPr>
        <w:t xml:space="preserve">This Agreement contains the entire agreement between the parties, may not be modified or amended except in writing as executed by both parties, and remains in force and effect unless terminated by either party as discussed herein. Client may terminate the Agreement within five (5) business days of signing the Agreement, without penalty or fee.</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Thereafter, this Agreement shall continue in effect until terminated by either party by giving to the other party thirty (30) calendar days’ written notice. Upon termination, advisory fees paid in advance shall be prorated and any unearned portion refunded to the Client within a reasonable period after the effective termination date.</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Any notices issued pursuant to this paragraph shall be issued as follows:</w:t>
      </w:r>
    </w:p>
    <w:p>
      <w:pPr>
        <w:spacing w:after="40"/>
      </w:pPr>
      <w:r>
        <w:rPr>
          <w:sz w:val="2"/>
          <w:szCs w:val="2"/>
        </w:rPr>
        <w:t xml:space="preserve"/>
      </w:r>
    </w:p>
    <w:p>
      <w:pPr>
        <w:spacing w:after="120" w:before="0" w:line="276" w:lineRule="auto"/>
      </w:pPr>
      <w:r>
        <w:rPr>
          <w:rFonts w:ascii="Arial" w:cs="Arial" w:eastAsia="Arial" w:hAnsi="Arial"/>
          <w:b/>
          <w:bCs/>
          <w:color w:val="1A1A1A"/>
          <w:sz w:val="24"/>
          <w:szCs w:val="24"/>
        </w:rPr>
        <w:t xml:space="preserve">If to Investment Advisor:</w:t>
      </w:r>
    </w:p>
    <w:p>
      <w:pPr>
        <w:spacing w:after="120" w:before="0" w:line="276" w:lineRule="auto"/>
      </w:pPr>
      <w:r>
        <w:rPr>
          <w:rFonts w:ascii="Arial" w:cs="Arial" w:eastAsia="Arial" w:hAnsi="Arial"/>
          <w:color w:val="1A1A1A"/>
          <w:sz w:val="24"/>
          <w:szCs w:val="24"/>
        </w:rPr>
        <w:t xml:space="preserve">Buckeye Wealth Partners, LLC</w:t>
      </w:r>
    </w:p>
    <w:p>
      <w:pPr>
        <w:spacing w:after="120" w:before="0" w:line="276" w:lineRule="auto"/>
      </w:pPr>
      <w:r>
        <w:rPr>
          <w:rFonts w:ascii="Arial" w:cs="Arial" w:eastAsia="Arial" w:hAnsi="Arial"/>
          <w:color w:val="1A1A1A"/>
          <w:sz w:val="24"/>
          <w:szCs w:val="24"/>
        </w:rPr>
        <w:t xml:space="preserve">Via Email to jim@buckeyewealthpartners.com and/or Fax: (937) 434-6548</w:t>
      </w:r>
    </w:p>
    <w:p>
      <w:pPr>
        <w:spacing w:after="60"/>
      </w:pPr>
      <w:r>
        <w:rPr>
          <w:sz w:val="2"/>
          <w:szCs w:val="2"/>
        </w:rPr>
        <w:t xml:space="preserve"/>
      </w:r>
    </w:p>
    <w:p>
      <w:pPr>
        <w:spacing w:after="120" w:before="0" w:line="276" w:lineRule="auto"/>
      </w:pPr>
      <w:r>
        <w:rPr>
          <w:rFonts w:ascii="Arial" w:cs="Arial" w:eastAsia="Arial" w:hAnsi="Arial"/>
          <w:b/>
          <w:bCs/>
          <w:color w:val="1A1A1A"/>
          <w:sz w:val="24"/>
          <w:szCs w:val="24"/>
        </w:rPr>
        <w:t xml:space="preserve">If to Client:</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Client Address Line 1</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Client Address Line 2</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Client Email</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Notices</w:t>
      </w:r>
    </w:p>
    <w:p>
      <w:pPr>
        <w:spacing w:after="120" w:before="0" w:line="276" w:lineRule="auto"/>
      </w:pPr>
      <w:r>
        <w:rPr>
          <w:rFonts w:ascii="Arial" w:cs="Arial" w:eastAsia="Arial" w:hAnsi="Arial"/>
          <w:color w:val="1A1A1A"/>
          <w:sz w:val="24"/>
          <w:szCs w:val="24"/>
        </w:rPr>
        <w:t xml:space="preserve">All notices and other communications contemplated by this Agreement shall be deemed duly given if transmitted to IA at the address set forth on the cover page of this Agreement to the attention of its Chief Compliance Officer, and to Client at the address appearing below, or at such other address or addresses as shall be specified, in each case, in a written notice similarly given.</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Governing Law</w:t>
      </w:r>
    </w:p>
    <w:p>
      <w:pPr>
        <w:spacing w:after="120" w:before="0" w:line="276" w:lineRule="auto"/>
      </w:pPr>
      <w:r>
        <w:rPr>
          <w:rFonts w:ascii="Arial" w:cs="Arial" w:eastAsia="Arial" w:hAnsi="Arial"/>
          <w:color w:val="1A1A1A"/>
          <w:sz w:val="24"/>
          <w:szCs w:val="24"/>
        </w:rPr>
        <w:t xml:space="preserve">The validity of this Agreement and the rights and liabilities of the parties hereunder shall be determined in accordance with the laws of the State of Ohio, except to the extent preempted by ERISA or other federal or state laws or regulations.</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Venue for any dispute shall be in the Common Pleas Court of Montgomery County, Ohio, or the United States District Court for the Southern District of Ohio at Dayton.</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Exhibits</w:t>
      </w:r>
    </w:p>
    <w:p>
      <w:pPr>
        <w:spacing w:after="120" w:before="0" w:line="276" w:lineRule="auto"/>
      </w:pPr>
      <w:r>
        <w:rPr>
          <w:rFonts w:ascii="Arial" w:cs="Arial" w:eastAsia="Arial" w:hAnsi="Arial"/>
          <w:color w:val="1A1A1A"/>
          <w:sz w:val="24"/>
          <w:szCs w:val="24"/>
        </w:rPr>
        <w:t xml:space="preserve">The following Exhibits are attached hereto and incorporated as part of this agreement:</w:t>
      </w:r>
    </w:p>
    <w:p>
      <w:pPr>
        <w:spacing w:after="40"/>
      </w:pPr>
      <w:r>
        <w:rPr>
          <w:sz w:val="2"/>
          <w:szCs w:val="2"/>
        </w:rPr>
        <w:t xml:space="preserve"/>
      </w:r>
    </w:p>
    <w:p>
      <w:pPr>
        <w:pStyle w:val="ListParagraph"/>
        <w:numPr>
          <w:ilvl w:val="0"/>
          <w:numId w:val="1"/>
        </w:numPr>
        <w:spacing w:after="80" w:before="0" w:line="276" w:lineRule="auto"/>
      </w:pPr>
      <w:r>
        <w:rPr>
          <w:rFonts w:ascii="Arial" w:cs="Arial" w:eastAsia="Arial" w:hAnsi="Arial"/>
          <w:color w:val="1A1A1A"/>
          <w:sz w:val="24"/>
          <w:szCs w:val="24"/>
        </w:rPr>
        <w:t xml:space="preserve">Exhibit I – Identification of Account(s)</w:t>
      </w:r>
    </w:p>
    <w:p>
      <w:pPr>
        <w:pStyle w:val="ListParagraph"/>
        <w:numPr>
          <w:ilvl w:val="0"/>
          <w:numId w:val="1"/>
        </w:numPr>
        <w:spacing w:after="80" w:before="0" w:line="276" w:lineRule="auto"/>
      </w:pPr>
      <w:r>
        <w:rPr>
          <w:rFonts w:ascii="Arial" w:cs="Arial" w:eastAsia="Arial" w:hAnsi="Arial"/>
          <w:color w:val="1A1A1A"/>
          <w:sz w:val="24"/>
          <w:szCs w:val="24"/>
        </w:rPr>
        <w:t xml:space="preserve">Exhibit II – Schedule of Fees</w:t>
      </w:r>
    </w:p>
    <w:p>
      <w:pPr>
        <w:pStyle w:val="ListParagraph"/>
        <w:numPr>
          <w:ilvl w:val="0"/>
          <w:numId w:val="1"/>
        </w:numPr>
        <w:spacing w:after="80" w:before="0" w:line="276" w:lineRule="auto"/>
      </w:pPr>
      <w:r>
        <w:rPr>
          <w:rFonts w:ascii="Arial" w:cs="Arial" w:eastAsia="Arial" w:hAnsi="Arial"/>
          <w:color w:val="1A1A1A"/>
          <w:sz w:val="24"/>
          <w:szCs w:val="24"/>
        </w:rPr>
        <w:t xml:space="preserve">Exhibit III – Identification of Custodian</w:t>
      </w:r>
    </w:p>
    <w:p>
      <w:pPr>
        <w:spacing w:after="8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Receipt</w:t>
      </w:r>
    </w:p>
    <w:p>
      <w:pPr>
        <w:spacing w:after="120" w:before="0" w:line="276" w:lineRule="auto"/>
      </w:pPr>
      <w:r>
        <w:rPr>
          <w:rFonts w:ascii="Arial" w:cs="Arial" w:eastAsia="Arial" w:hAnsi="Arial"/>
          <w:color w:val="1A1A1A"/>
          <w:sz w:val="24"/>
          <w:szCs w:val="24"/>
        </w:rPr>
        <w:t xml:space="preserve">________ Client acknowledges receipt of IA’s Privacy Policy Statement and Form ADV Part 2A and Part 2B. (Note: Form ADV Part 3 / CRS is applicable only to SEC-registered advisers; as an Ohio state-registered RIA, BWP does not file a Form ADV Part 3.)</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Consent to Electronic Delivery</w:t>
      </w:r>
    </w:p>
    <w:p>
      <w:pPr>
        <w:spacing w:after="120" w:before="0" w:line="276" w:lineRule="auto"/>
      </w:pPr>
      <w:r>
        <w:rPr>
          <w:rFonts w:ascii="Arial" w:cs="Arial" w:eastAsia="Arial" w:hAnsi="Arial"/>
          <w:color w:val="1A1A1A"/>
          <w:sz w:val="24"/>
          <w:szCs w:val="24"/>
        </w:rPr>
        <w:t xml:space="preserve">Client hereby consents to receive via e-mail or other electronic delivery method various communications, documents, and notifications from IA. These items may include but are not limited to: all statements or reports produced by IA; trade confirmations; billing invoices; all Form ADV brochures; privacy policy statements; and any other notices or documentation that IA chooses to provide on an ongoing or occasional basis. Client agrees to immediately notify IA of any changes to Client’s e-mail address or other electronic delivery address. If Client does not consent to electronic delivery, then hard copies of the applicable documentation will be provided to Client. Any additional fees for paper delivery are described in the Advisor’s Form ADV Part 2A and in Exhibit III.</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Assignment</w:t>
      </w:r>
    </w:p>
    <w:p>
      <w:pPr>
        <w:spacing w:after="120" w:before="0" w:line="276" w:lineRule="auto"/>
      </w:pPr>
      <w:r>
        <w:rPr>
          <w:rFonts w:ascii="Arial" w:cs="Arial" w:eastAsia="Arial" w:hAnsi="Arial"/>
          <w:color w:val="1A1A1A"/>
          <w:sz w:val="24"/>
          <w:szCs w:val="24"/>
        </w:rPr>
        <w:t xml:space="preserve">No assignment of this Agreement may be made by any party to this Agreement without the prior written consent of the other party hereto. Subject to the foregoing, this Agreement shall inure to the benefit and be binding upon the parties hereto, and each of their respective successors and permitted assigns.</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Confidential Relationship</w:t>
      </w:r>
    </w:p>
    <w:p>
      <w:pPr>
        <w:spacing w:after="120" w:before="0" w:line="276" w:lineRule="auto"/>
      </w:pPr>
      <w:r>
        <w:rPr>
          <w:rFonts w:ascii="Arial" w:cs="Arial" w:eastAsia="Arial" w:hAnsi="Arial"/>
          <w:color w:val="1A1A1A"/>
          <w:sz w:val="24"/>
          <w:szCs w:val="24"/>
        </w:rPr>
        <w:t xml:space="preserve">All information and advice furnished by either party to the other shall be treated as confidential and shall not be disclosed to third parties except as required by law and as described in IA’s Privacy Policy Statement.</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Death or Disability</w:t>
      </w:r>
    </w:p>
    <w:p>
      <w:pPr>
        <w:spacing w:after="120" w:before="0" w:line="276" w:lineRule="auto"/>
      </w:pPr>
      <w:r>
        <w:rPr>
          <w:rFonts w:ascii="Arial" w:cs="Arial" w:eastAsia="Arial" w:hAnsi="Arial"/>
          <w:color w:val="1A1A1A"/>
          <w:sz w:val="24"/>
          <w:szCs w:val="24"/>
        </w:rPr>
        <w:t xml:space="preserve">If Client is a natural person, then Client’s death, incapacity, disability, or incompetence will not terminate or change the terms of this Agreement. However, Client’s guardian, executor, attorney-in-fact, or other authorized representative may terminate this Agreement by giving IA written notice in accordance with the termination provisions of this Agreement.</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Title of Assets</w:t>
      </w:r>
    </w:p>
    <w:p>
      <w:pPr>
        <w:spacing w:after="120" w:before="0" w:line="276" w:lineRule="auto"/>
      </w:pPr>
      <w:r>
        <w:rPr>
          <w:rFonts w:ascii="Arial" w:cs="Arial" w:eastAsia="Arial" w:hAnsi="Arial"/>
          <w:color w:val="1A1A1A"/>
          <w:sz w:val="24"/>
          <w:szCs w:val="24"/>
        </w:rPr>
        <w:t xml:space="preserve">Except to the extent Client has notified, or in the future notifies, IA in writing, Client represents that assets in the Account belong to Client free and clear of any lien or encumbrances.</w:t>
      </w:r>
    </w:p>
    <w:p>
      <w:pPr>
        <w:spacing w:after="60"/>
      </w:pPr>
      <w:r>
        <w:rPr>
          <w:sz w:val="2"/>
          <w:szCs w:val="2"/>
        </w:rPr>
        <w:t xml:space="preserve"/>
      </w:r>
    </w:p>
    <w:p>
      <w:pPr>
        <w:pStyle w:val="Heading1"/>
        <w:keepNext/>
        <w:keepLines/>
        <w:spacing w:after="120" w:before="240"/>
      </w:pPr>
      <w:r>
        <w:rPr>
          <w:rFonts w:ascii="Arial" w:cs="Arial" w:eastAsia="Arial" w:hAnsi="Arial"/>
          <w:b/>
          <w:bCs/>
          <w:color w:val="1B3A5C"/>
          <w:sz w:val="32"/>
          <w:szCs w:val="32"/>
        </w:rPr>
        <w:t xml:space="preserve">Market Conditions</w:t>
      </w:r>
    </w:p>
    <w:p>
      <w:pPr>
        <w:spacing w:after="120" w:before="0" w:line="276" w:lineRule="auto"/>
      </w:pPr>
      <w:r>
        <w:rPr>
          <w:rFonts w:ascii="Arial" w:cs="Arial" w:eastAsia="Arial" w:hAnsi="Arial"/>
          <w:color w:val="1A1A1A"/>
          <w:sz w:val="24"/>
          <w:szCs w:val="24"/>
        </w:rPr>
        <w:t xml:space="preserve">Client acknowledges that IA’s past performance and advice regarding Client accounts cannot guarantee future results. AS WITH MARKET INVESTMENTS, CLIENT INVESTMENTS CAN APPRECIATE OR DEPRECIATE. IA does not guarantee or warrant that services offered will result in profit.</w:t>
      </w:r>
    </w:p>
    <w:p>
      <w:pPr>
        <w:spacing w:after="120"/>
      </w:pPr>
      <w:r>
        <w:rPr>
          <w:sz w:val="2"/>
          <w:szCs w:val="2"/>
        </w:rPr>
        <w:t xml:space="preserve"/>
      </w:r>
    </w:p>
    <w:p>
      <w:pPr>
        <w:pBdr>
          <w:bottom w:val="single" w:color="CCCCCC" w:sz="4"/>
        </w:pBdr>
        <w:spacing w:after="120" w:before="120"/>
      </w:pPr>
    </w:p>
    <w:p>
      <w:pPr>
        <w:pStyle w:val="Heading1"/>
        <w:keepNext/>
        <w:keepLines/>
        <w:spacing w:after="120" w:before="240"/>
      </w:pPr>
      <w:r>
        <w:rPr>
          <w:rFonts w:ascii="Arial" w:cs="Arial" w:eastAsia="Arial" w:hAnsi="Arial"/>
          <w:b/>
          <w:bCs/>
          <w:color w:val="1B3A5C"/>
          <w:sz w:val="32"/>
          <w:szCs w:val="32"/>
        </w:rPr>
        <w:t xml:space="preserve">Signatures</w:t>
      </w:r>
    </w:p>
    <w:p>
      <w:pPr>
        <w:spacing w:after="120" w:before="0" w:line="276" w:lineRule="auto"/>
      </w:pPr>
      <w:r>
        <w:rPr>
          <w:rFonts w:ascii="Arial" w:cs="Arial" w:eastAsia="Arial" w:hAnsi="Arial"/>
          <w:color w:val="1A1A1A"/>
          <w:sz w:val="24"/>
          <w:szCs w:val="24"/>
        </w:rPr>
        <w:t xml:space="preserve">IN WITNESS THEREOF, the parties have executed this Agreement on the date stated below.</w:t>
      </w:r>
    </w:p>
    <w:p>
      <w:pPr>
        <w:spacing w:after="120"/>
      </w:pPr>
      <w:r>
        <w:rPr>
          <w:sz w:val="2"/>
          <w:szCs w:val="2"/>
        </w:rPr>
        <w:t xml:space="preserve"/>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Signature — Client</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Printed Name — Client</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Date</w:t>
      </w:r>
    </w:p>
    <w:p>
      <w:pPr>
        <w:spacing w:after="80"/>
      </w:pPr>
      <w:r>
        <w:rPr>
          <w:sz w:val="2"/>
          <w:szCs w:val="2"/>
        </w:rPr>
        <w:t xml:space="preserve"/>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Signature — Joint Account Holder (if applicable)</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Printed Name</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Date</w:t>
      </w:r>
    </w:p>
    <w:p>
      <w:pPr>
        <w:spacing w:after="80"/>
      </w:pPr>
      <w:r>
        <w:rPr>
          <w:sz w:val="2"/>
          <w:szCs w:val="2"/>
        </w:rPr>
        <w:t xml:space="preserve"/>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Signature — Authorized Officer, Buckeye Wealth Partners LLC</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Printed Name — Authorized Officer</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Title</w:t>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Date</w:t>
      </w:r>
    </w:p>
    <w:p>
      <w:pPr>
        <w:spacing w:after="200"/>
      </w:pPr>
      <w:r>
        <w:rPr>
          <w:sz w:val="2"/>
          <w:szCs w:val="2"/>
        </w:rPr>
        <w:t xml:space="preserve"/>
      </w:r>
    </w:p>
    <w:p>
      <w:pPr>
        <w:pageBreakBefore/>
      </w:pPr>
      <w:r>
        <w:rPr>
          <w:sz w:val="2"/>
          <w:szCs w:val="2"/>
        </w:rPr>
        <w:t xml:space="preserve"/>
      </w:r>
    </w:p>
    <w:p>
      <w:pPr>
        <w:spacing w:after="160" w:before="200"/>
        <w:jc w:val="center"/>
      </w:pPr>
      <w:r>
        <w:rPr>
          <w:rFonts w:ascii="Arial" w:cs="Arial" w:eastAsia="Arial" w:hAnsi="Arial"/>
          <w:b/>
          <w:bCs/>
          <w:color w:val="1B3A5C"/>
          <w:sz w:val="32"/>
          <w:szCs w:val="32"/>
        </w:rPr>
        <w:t xml:space="preserve">EXHIBIT I — IDENTIFICATION OF ACCOUNTS</w:t>
      </w:r>
    </w:p>
    <w:p>
      <w:pPr>
        <w:spacing w:after="120" w:before="0" w:line="276" w:lineRule="auto"/>
      </w:pPr>
      <w:r>
        <w:rPr>
          <w:rFonts w:ascii="Arial" w:cs="Arial" w:eastAsia="Arial" w:hAnsi="Arial"/>
          <w:color w:val="1A1A1A"/>
          <w:sz w:val="24"/>
          <w:szCs w:val="24"/>
        </w:rPr>
        <w:t xml:space="preserve">Below are the accounts (collectively, the “Account”) included under this Agreement:</w:t>
      </w:r>
    </w:p>
    <w:p>
      <w:pPr>
        <w:spacing w:after="8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0"/>
        <w:gridCol w:w="100"/>
        <w:gridCol w:w="100"/>
        <w:gridCol w:w="100"/>
      </w:tblGrid>
      <w:tr>
        <w:trPr>
          <w:tblHeader/>
        </w:trPr>
        <w:tc>
          <w:tcPr>
            <w:shd w:fill="1B3A5C" w:color="1B3A5C" w:val="clear"/>
            <w:tcMar>
              <w:top w:type="dxa" w:w="60"/>
              <w:left w:type="dxa" w:w="100"/>
              <w:bottom w:type="dxa" w:w="60"/>
              <w:right w:type="dxa" w:w="100"/>
            </w:tcMar>
          </w:tcPr>
          <w:p>
            <w:pPr>
              <w:spacing w:after="60" w:before="60"/>
              <w:jc w:val="center"/>
            </w:pPr>
            <w:r>
              <w:rPr>
                <w:rFonts w:ascii="Arial" w:cs="Arial" w:eastAsia="Arial" w:hAnsi="Arial"/>
                <w:b/>
                <w:bCs/>
                <w:color w:val="FFFFFF"/>
                <w:sz w:val="22"/>
                <w:szCs w:val="22"/>
              </w:rPr>
              <w:t xml:space="preserve">Account Title</w:t>
            </w:r>
          </w:p>
        </w:tc>
        <w:tc>
          <w:tcPr>
            <w:shd w:fill="1B3A5C" w:color="1B3A5C" w:val="clear"/>
            <w:tcMar>
              <w:top w:type="dxa" w:w="60"/>
              <w:left w:type="dxa" w:w="100"/>
              <w:bottom w:type="dxa" w:w="60"/>
              <w:right w:type="dxa" w:w="100"/>
            </w:tcMar>
          </w:tcPr>
          <w:p>
            <w:pPr>
              <w:spacing w:after="60" w:before="60"/>
              <w:jc w:val="center"/>
            </w:pPr>
            <w:r>
              <w:rPr>
                <w:rFonts w:ascii="Arial" w:cs="Arial" w:eastAsia="Arial" w:hAnsi="Arial"/>
                <w:b/>
                <w:bCs/>
                <w:color w:val="FFFFFF"/>
                <w:sz w:val="22"/>
                <w:szCs w:val="22"/>
              </w:rPr>
              <w:t xml:space="preserve">Account Number</w:t>
            </w:r>
          </w:p>
        </w:tc>
        <w:tc>
          <w:tcPr>
            <w:shd w:fill="1B3A5C" w:color="1B3A5C" w:val="clear"/>
            <w:tcMar>
              <w:top w:type="dxa" w:w="60"/>
              <w:left w:type="dxa" w:w="100"/>
              <w:bottom w:type="dxa" w:w="60"/>
              <w:right w:type="dxa" w:w="100"/>
            </w:tcMar>
          </w:tcPr>
          <w:p>
            <w:pPr>
              <w:spacing w:after="60" w:before="60"/>
              <w:jc w:val="center"/>
            </w:pPr>
            <w:r>
              <w:rPr>
                <w:rFonts w:ascii="Arial" w:cs="Arial" w:eastAsia="Arial" w:hAnsi="Arial"/>
                <w:b/>
                <w:bCs/>
                <w:color w:val="FFFFFF"/>
                <w:sz w:val="22"/>
                <w:szCs w:val="22"/>
              </w:rPr>
              <w:t xml:space="preserve">Account Type</w:t>
            </w:r>
          </w:p>
        </w:tc>
        <w:tc>
          <w:tcPr>
            <w:shd w:fill="1B3A5C" w:color="1B3A5C" w:val="clear"/>
            <w:tcMar>
              <w:top w:type="dxa" w:w="60"/>
              <w:left w:type="dxa" w:w="100"/>
              <w:bottom w:type="dxa" w:w="60"/>
              <w:right w:type="dxa" w:w="100"/>
            </w:tcMar>
          </w:tcPr>
          <w:p>
            <w:pPr>
              <w:spacing w:after="60" w:before="60"/>
              <w:jc w:val="center"/>
            </w:pPr>
            <w:r>
              <w:rPr>
                <w:rFonts w:ascii="Arial" w:cs="Arial" w:eastAsia="Arial" w:hAnsi="Arial"/>
                <w:b/>
                <w:bCs/>
                <w:color w:val="FFFFFF"/>
                <w:sz w:val="22"/>
                <w:szCs w:val="22"/>
              </w:rPr>
              <w:t xml:space="preserve">Custodian</w:t>
            </w:r>
          </w:p>
        </w:tc>
      </w:tr>
      <w:tr>
        <w:tc>
          <w:tcPr>
            <w:shd w:fill="F5F7FA" w:color="F5F7FA" w:val="clear"/>
            <w:tcMar>
              <w:top w:type="dxa" w:w="60"/>
              <w:left w:type="dxa" w:w="100"/>
              <w:bottom w:type="dxa" w:w="60"/>
              <w:right w:type="dxa" w:w="100"/>
            </w:tcMar>
          </w:tcPr>
          <w:p>
            <w:pPr>
              <w:spacing w:after="80" w:before="80"/>
            </w:pPr>
            <w:r>
              <w:rPr>
                <w:sz w:val="22"/>
                <w:szCs w:val="22"/>
              </w:rPr>
              <w:t xml:space="preserve"> </w:t>
            </w:r>
          </w:p>
        </w:tc>
        <w:tc>
          <w:tcPr>
            <w:shd w:fill="F5F7FA" w:color="F5F7FA" w:val="clear"/>
            <w:tcMar>
              <w:top w:type="dxa" w:w="60"/>
              <w:left w:type="dxa" w:w="100"/>
              <w:bottom w:type="dxa" w:w="60"/>
              <w:right w:type="dxa" w:w="100"/>
            </w:tcMar>
          </w:tcPr>
          <w:p>
            <w:pPr>
              <w:spacing w:after="80" w:before="80"/>
            </w:pPr>
            <w:r>
              <w:rPr>
                <w:sz w:val="22"/>
                <w:szCs w:val="22"/>
              </w:rPr>
              <w:t xml:space="preserve"> </w:t>
            </w:r>
          </w:p>
        </w:tc>
        <w:tc>
          <w:tcPr>
            <w:shd w:fill="F5F7FA" w:color="F5F7FA" w:val="clear"/>
            <w:tcMar>
              <w:top w:type="dxa" w:w="60"/>
              <w:left w:type="dxa" w:w="100"/>
              <w:bottom w:type="dxa" w:w="60"/>
              <w:right w:type="dxa" w:w="100"/>
            </w:tcMar>
          </w:tcPr>
          <w:p>
            <w:pPr>
              <w:spacing w:after="80" w:before="80"/>
            </w:pPr>
            <w:r>
              <w:rPr>
                <w:sz w:val="22"/>
                <w:szCs w:val="22"/>
              </w:rPr>
              <w:t xml:space="preserve"> </w:t>
            </w:r>
          </w:p>
        </w:tc>
        <w:tc>
          <w:tcPr>
            <w:shd w:fill="F5F7FA" w:color="F5F7FA" w:val="clear"/>
            <w:tcMar>
              <w:top w:type="dxa" w:w="60"/>
              <w:left w:type="dxa" w:w="100"/>
              <w:bottom w:type="dxa" w:w="60"/>
              <w:right w:type="dxa" w:w="100"/>
            </w:tcMar>
          </w:tcPr>
          <w:p>
            <w:pPr>
              <w:spacing w:after="80" w:before="80"/>
            </w:pPr>
            <w:r>
              <w:rPr>
                <w:sz w:val="22"/>
                <w:szCs w:val="22"/>
              </w:rPr>
              <w:t xml:space="preserve"> </w:t>
            </w:r>
          </w:p>
        </w:tc>
      </w:tr>
      <w:tr>
        <w:tc>
          <w:tcPr>
            <w:shd w:fill="FFFFFF" w:color="FFFFFF" w:val="clear"/>
            <w:tcMar>
              <w:top w:type="dxa" w:w="60"/>
              <w:left w:type="dxa" w:w="100"/>
              <w:bottom w:type="dxa" w:w="60"/>
              <w:right w:type="dxa" w:w="100"/>
            </w:tcMar>
          </w:tcPr>
          <w:p>
            <w:pPr>
              <w:spacing w:after="80" w:before="80"/>
            </w:pPr>
            <w:r>
              <w:rPr>
                <w:sz w:val="22"/>
                <w:szCs w:val="22"/>
              </w:rPr>
              <w:t xml:space="preserve"> </w:t>
            </w:r>
          </w:p>
        </w:tc>
        <w:tc>
          <w:tcPr>
            <w:shd w:fill="FFFFFF" w:color="FFFFFF" w:val="clear"/>
            <w:tcMar>
              <w:top w:type="dxa" w:w="60"/>
              <w:left w:type="dxa" w:w="100"/>
              <w:bottom w:type="dxa" w:w="60"/>
              <w:right w:type="dxa" w:w="100"/>
            </w:tcMar>
          </w:tcPr>
          <w:p>
            <w:pPr>
              <w:spacing w:after="80" w:before="80"/>
            </w:pPr>
            <w:r>
              <w:rPr>
                <w:sz w:val="22"/>
                <w:szCs w:val="22"/>
              </w:rPr>
              <w:t xml:space="preserve"> </w:t>
            </w:r>
          </w:p>
        </w:tc>
        <w:tc>
          <w:tcPr>
            <w:shd w:fill="FFFFFF" w:color="FFFFFF" w:val="clear"/>
            <w:tcMar>
              <w:top w:type="dxa" w:w="60"/>
              <w:left w:type="dxa" w:w="100"/>
              <w:bottom w:type="dxa" w:w="60"/>
              <w:right w:type="dxa" w:w="100"/>
            </w:tcMar>
          </w:tcPr>
          <w:p>
            <w:pPr>
              <w:spacing w:after="80" w:before="80"/>
            </w:pPr>
            <w:r>
              <w:rPr>
                <w:sz w:val="22"/>
                <w:szCs w:val="22"/>
              </w:rPr>
              <w:t xml:space="preserve"> </w:t>
            </w:r>
          </w:p>
        </w:tc>
        <w:tc>
          <w:tcPr>
            <w:shd w:fill="FFFFFF" w:color="FFFFFF" w:val="clear"/>
            <w:tcMar>
              <w:top w:type="dxa" w:w="60"/>
              <w:left w:type="dxa" w:w="100"/>
              <w:bottom w:type="dxa" w:w="60"/>
              <w:right w:type="dxa" w:w="100"/>
            </w:tcMar>
          </w:tcPr>
          <w:p>
            <w:pPr>
              <w:spacing w:after="80" w:before="80"/>
            </w:pPr>
            <w:r>
              <w:rPr>
                <w:sz w:val="22"/>
                <w:szCs w:val="22"/>
              </w:rPr>
              <w:t xml:space="preserve"> </w:t>
            </w:r>
          </w:p>
        </w:tc>
      </w:tr>
      <w:tr>
        <w:tc>
          <w:tcPr>
            <w:shd w:fill="F5F7FA" w:color="F5F7FA" w:val="clear"/>
            <w:tcMar>
              <w:top w:type="dxa" w:w="60"/>
              <w:left w:type="dxa" w:w="100"/>
              <w:bottom w:type="dxa" w:w="60"/>
              <w:right w:type="dxa" w:w="100"/>
            </w:tcMar>
          </w:tcPr>
          <w:p>
            <w:pPr>
              <w:spacing w:after="80" w:before="80"/>
            </w:pPr>
            <w:r>
              <w:rPr>
                <w:sz w:val="22"/>
                <w:szCs w:val="22"/>
              </w:rPr>
              <w:t xml:space="preserve"> </w:t>
            </w:r>
          </w:p>
        </w:tc>
        <w:tc>
          <w:tcPr>
            <w:shd w:fill="F5F7FA" w:color="F5F7FA" w:val="clear"/>
            <w:tcMar>
              <w:top w:type="dxa" w:w="60"/>
              <w:left w:type="dxa" w:w="100"/>
              <w:bottom w:type="dxa" w:w="60"/>
              <w:right w:type="dxa" w:w="100"/>
            </w:tcMar>
          </w:tcPr>
          <w:p>
            <w:pPr>
              <w:spacing w:after="80" w:before="80"/>
            </w:pPr>
            <w:r>
              <w:rPr>
                <w:sz w:val="22"/>
                <w:szCs w:val="22"/>
              </w:rPr>
              <w:t xml:space="preserve"> </w:t>
            </w:r>
          </w:p>
        </w:tc>
        <w:tc>
          <w:tcPr>
            <w:shd w:fill="F5F7FA" w:color="F5F7FA" w:val="clear"/>
            <w:tcMar>
              <w:top w:type="dxa" w:w="60"/>
              <w:left w:type="dxa" w:w="100"/>
              <w:bottom w:type="dxa" w:w="60"/>
              <w:right w:type="dxa" w:w="100"/>
            </w:tcMar>
          </w:tcPr>
          <w:p>
            <w:pPr>
              <w:spacing w:after="80" w:before="80"/>
            </w:pPr>
            <w:r>
              <w:rPr>
                <w:sz w:val="22"/>
                <w:szCs w:val="22"/>
              </w:rPr>
              <w:t xml:space="preserve"> </w:t>
            </w:r>
          </w:p>
        </w:tc>
        <w:tc>
          <w:tcPr>
            <w:shd w:fill="F5F7FA" w:color="F5F7FA" w:val="clear"/>
            <w:tcMar>
              <w:top w:type="dxa" w:w="60"/>
              <w:left w:type="dxa" w:w="100"/>
              <w:bottom w:type="dxa" w:w="60"/>
              <w:right w:type="dxa" w:w="100"/>
            </w:tcMar>
          </w:tcPr>
          <w:p>
            <w:pPr>
              <w:spacing w:after="80" w:before="80"/>
            </w:pPr>
            <w:r>
              <w:rPr>
                <w:sz w:val="22"/>
                <w:szCs w:val="22"/>
              </w:rPr>
              <w:t xml:space="preserve"> </w:t>
            </w:r>
          </w:p>
        </w:tc>
      </w:tr>
      <w:tr>
        <w:tc>
          <w:tcPr>
            <w:shd w:fill="FFFFFF" w:color="FFFFFF" w:val="clear"/>
            <w:tcMar>
              <w:top w:type="dxa" w:w="60"/>
              <w:left w:type="dxa" w:w="100"/>
              <w:bottom w:type="dxa" w:w="60"/>
              <w:right w:type="dxa" w:w="100"/>
            </w:tcMar>
          </w:tcPr>
          <w:p>
            <w:pPr>
              <w:spacing w:after="80" w:before="80"/>
            </w:pPr>
            <w:r>
              <w:rPr>
                <w:sz w:val="22"/>
                <w:szCs w:val="22"/>
              </w:rPr>
              <w:t xml:space="preserve"> </w:t>
            </w:r>
          </w:p>
        </w:tc>
        <w:tc>
          <w:tcPr>
            <w:shd w:fill="FFFFFF" w:color="FFFFFF" w:val="clear"/>
            <w:tcMar>
              <w:top w:type="dxa" w:w="60"/>
              <w:left w:type="dxa" w:w="100"/>
              <w:bottom w:type="dxa" w:w="60"/>
              <w:right w:type="dxa" w:w="100"/>
            </w:tcMar>
          </w:tcPr>
          <w:p>
            <w:pPr>
              <w:spacing w:after="80" w:before="80"/>
            </w:pPr>
            <w:r>
              <w:rPr>
                <w:sz w:val="22"/>
                <w:szCs w:val="22"/>
              </w:rPr>
              <w:t xml:space="preserve"> </w:t>
            </w:r>
          </w:p>
        </w:tc>
        <w:tc>
          <w:tcPr>
            <w:shd w:fill="FFFFFF" w:color="FFFFFF" w:val="clear"/>
            <w:tcMar>
              <w:top w:type="dxa" w:w="60"/>
              <w:left w:type="dxa" w:w="100"/>
              <w:bottom w:type="dxa" w:w="60"/>
              <w:right w:type="dxa" w:w="100"/>
            </w:tcMar>
          </w:tcPr>
          <w:p>
            <w:pPr>
              <w:spacing w:after="80" w:before="80"/>
            </w:pPr>
            <w:r>
              <w:rPr>
                <w:sz w:val="22"/>
                <w:szCs w:val="22"/>
              </w:rPr>
              <w:t xml:space="preserve"> </w:t>
            </w:r>
          </w:p>
        </w:tc>
        <w:tc>
          <w:tcPr>
            <w:shd w:fill="FFFFFF" w:color="FFFFFF" w:val="clear"/>
            <w:tcMar>
              <w:top w:type="dxa" w:w="60"/>
              <w:left w:type="dxa" w:w="100"/>
              <w:bottom w:type="dxa" w:w="60"/>
              <w:right w:type="dxa" w:w="100"/>
            </w:tcMar>
          </w:tcPr>
          <w:p>
            <w:pPr>
              <w:spacing w:after="80" w:before="80"/>
            </w:pPr>
            <w:r>
              <w:rPr>
                <w:sz w:val="22"/>
                <w:szCs w:val="22"/>
              </w:rPr>
              <w:t xml:space="preserve"> </w:t>
            </w:r>
          </w:p>
        </w:tc>
      </w:tr>
    </w:tbl>
    <w:p>
      <w:pPr>
        <w:spacing w:after="200"/>
      </w:pPr>
      <w:r>
        <w:rPr>
          <w:sz w:val="2"/>
          <w:szCs w:val="2"/>
        </w:rPr>
        <w:t xml:space="preserve"/>
      </w:r>
    </w:p>
    <w:p>
      <w:pPr>
        <w:pageBreakBefore/>
      </w:pPr>
      <w:r>
        <w:rPr>
          <w:sz w:val="2"/>
          <w:szCs w:val="2"/>
        </w:rPr>
        <w:t xml:space="preserve"/>
      </w:r>
    </w:p>
    <w:p>
      <w:pPr>
        <w:spacing w:after="80" w:before="200"/>
        <w:jc w:val="center"/>
      </w:pPr>
      <w:r>
        <w:rPr>
          <w:rFonts w:ascii="Arial" w:cs="Arial" w:eastAsia="Arial" w:hAnsi="Arial"/>
          <w:b/>
          <w:bCs/>
          <w:color w:val="1B3A5C"/>
          <w:sz w:val="32"/>
          <w:szCs w:val="32"/>
        </w:rPr>
        <w:t xml:space="preserve">EXHIBIT II — SCHEDULE OF FEES</w:t>
      </w:r>
    </w:p>
    <w:p>
      <w:pPr>
        <w:spacing w:after="60" w:before="0"/>
        <w:jc w:val="center"/>
      </w:pPr>
      <w:r>
        <w:rPr>
          <w:rFonts w:ascii="Arial" w:cs="Arial" w:eastAsia="Arial" w:hAnsi="Arial"/>
          <w:b/>
          <w:bCs/>
          <w:color w:val="2E6B9E"/>
          <w:sz w:val="26"/>
          <w:szCs w:val="26"/>
        </w:rPr>
        <w:t xml:space="preserve">Wealth Management Advisory Fee Schedule</w:t>
      </w:r>
    </w:p>
    <w:p>
      <w:pPr>
        <w:spacing w:after="160" w:before="0"/>
        <w:jc w:val="center"/>
      </w:pPr>
      <w:r>
        <w:rPr>
          <w:rFonts w:ascii="Arial" w:cs="Arial" w:eastAsia="Arial" w:hAnsi="Arial"/>
          <w:color w:val="666666"/>
          <w:sz w:val="22"/>
          <w:szCs w:val="22"/>
        </w:rPr>
        <w:t xml:space="preserve">Effective Date: April 13, 2026</w:t>
      </w:r>
    </w:p>
    <w:p>
      <w:pPr>
        <w:spacing w:after="120" w:before="0" w:line="276" w:lineRule="auto"/>
      </w:pPr>
      <w:r>
        <w:rPr>
          <w:rFonts w:ascii="Arial" w:cs="Arial" w:eastAsia="Arial" w:hAnsi="Arial"/>
          <w:color w:val="1A1A1A"/>
          <w:sz w:val="24"/>
          <w:szCs w:val="24"/>
        </w:rPr>
        <w:t xml:space="preserve">The following are the fees charged by IA for services provided. Lower fees for comparable services may be available from other sources.</w:t>
      </w:r>
    </w:p>
    <w:p>
      <w:pPr>
        <w:spacing w:after="100"/>
      </w:pPr>
      <w:r>
        <w:rPr>
          <w:sz w:val="2"/>
          <w:szCs w:val="2"/>
        </w:rP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0"/>
        <w:gridCol w:w="100"/>
      </w:tblGrid>
      <w:tr>
        <w:trPr>
          <w:tblHeader/>
        </w:trPr>
        <w:tc>
          <w:tcPr>
            <w:shd w:fill="1B3A5C" w:color="1B3A5C" w:val="clear"/>
            <w:tcMar>
              <w:top w:type="dxa" w:w="60"/>
              <w:left w:type="dxa" w:w="100"/>
              <w:bottom w:type="dxa" w:w="60"/>
              <w:right w:type="dxa" w:w="100"/>
            </w:tcMar>
          </w:tcPr>
          <w:p>
            <w:pPr>
              <w:spacing w:after="60" w:before="60"/>
              <w:jc w:val="center"/>
            </w:pPr>
            <w:r>
              <w:rPr>
                <w:rFonts w:ascii="Arial" w:cs="Arial" w:eastAsia="Arial" w:hAnsi="Arial"/>
                <w:b/>
                <w:bCs/>
                <w:color w:val="FFFFFF"/>
                <w:sz w:val="22"/>
                <w:szCs w:val="22"/>
              </w:rPr>
              <w:t xml:space="preserve">Assets Under Management</w:t>
            </w:r>
          </w:p>
        </w:tc>
        <w:tc>
          <w:tcPr>
            <w:shd w:fill="1B3A5C" w:color="1B3A5C" w:val="clear"/>
            <w:tcMar>
              <w:top w:type="dxa" w:w="60"/>
              <w:left w:type="dxa" w:w="100"/>
              <w:bottom w:type="dxa" w:w="60"/>
              <w:right w:type="dxa" w:w="100"/>
            </w:tcMar>
          </w:tcPr>
          <w:p>
            <w:pPr>
              <w:spacing w:after="60" w:before="60"/>
              <w:jc w:val="center"/>
            </w:pPr>
            <w:r>
              <w:rPr>
                <w:rFonts w:ascii="Arial" w:cs="Arial" w:eastAsia="Arial" w:hAnsi="Arial"/>
                <w:b/>
                <w:bCs/>
                <w:color w:val="FFFFFF"/>
                <w:sz w:val="22"/>
                <w:szCs w:val="22"/>
              </w:rPr>
              <w:t xml:space="preserve">Annual Advisory Fee</w:t>
            </w:r>
          </w:p>
        </w:tc>
      </w:tr>
      <w:tr>
        <w:tc>
          <w:tcPr>
            <w:shd w:fill="F5F7FA" w:color="F5F7FA"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$0 – $500,000</w:t>
            </w:r>
          </w:p>
        </w:tc>
        <w:tc>
          <w:tcPr>
            <w:shd w:fill="F5F7FA" w:color="F5F7FA"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1.45%</w:t>
            </w:r>
          </w:p>
        </w:tc>
      </w:tr>
      <w:tr>
        <w:tc>
          <w:tcPr>
            <w:shd w:fill="FFFFFF" w:color="FFFFFF"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$500,001 – $1,000,000</w:t>
            </w:r>
          </w:p>
        </w:tc>
        <w:tc>
          <w:tcPr>
            <w:shd w:fill="FFFFFF" w:color="FFFFFF"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1.40%</w:t>
            </w:r>
          </w:p>
        </w:tc>
      </w:tr>
      <w:tr>
        <w:tc>
          <w:tcPr>
            <w:shd w:fill="F5F7FA" w:color="F5F7FA"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$1,000,001 – $2,000,000</w:t>
            </w:r>
          </w:p>
        </w:tc>
        <w:tc>
          <w:tcPr>
            <w:shd w:fill="F5F7FA" w:color="F5F7FA"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1.00%</w:t>
            </w:r>
          </w:p>
        </w:tc>
      </w:tr>
      <w:tr>
        <w:tc>
          <w:tcPr>
            <w:shd w:fill="FFFFFF" w:color="FFFFFF"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$2,000,001 and Above</w:t>
            </w:r>
          </w:p>
        </w:tc>
        <w:tc>
          <w:tcPr>
            <w:shd w:fill="FFFFFF" w:color="FFFFFF" w:val="clear"/>
            <w:tcMar>
              <w:top w:type="dxa" w:w="60"/>
              <w:left w:type="dxa" w:w="100"/>
              <w:bottom w:type="dxa" w:w="60"/>
              <w:right w:type="dxa" w:w="100"/>
            </w:tcMar>
          </w:tcPr>
          <w:p>
            <w:pPr>
              <w:spacing w:after="60" w:before="60"/>
              <w:jc w:val="center"/>
            </w:pPr>
            <w:r>
              <w:rPr>
                <w:rFonts w:ascii="Arial" w:cs="Arial" w:eastAsia="Arial" w:hAnsi="Arial"/>
                <w:color w:val="1A1A1A"/>
                <w:sz w:val="22"/>
                <w:szCs w:val="22"/>
              </w:rPr>
              <w:t xml:space="preserve">0.60%</w:t>
            </w:r>
          </w:p>
        </w:tc>
      </w:tr>
    </w:tbl>
    <w:p>
      <w:pPr>
        <w:spacing w:after="160"/>
      </w:pPr>
      <w:r>
        <w:rPr>
          <w:sz w:val="2"/>
          <w:szCs w:val="2"/>
        </w:rPr>
        <w:t xml:space="preserve"/>
      </w:r>
    </w:p>
    <w:p>
      <w:pPr>
        <w:spacing w:after="120" w:before="0" w:line="276" w:lineRule="auto"/>
      </w:pPr>
      <w:r>
        <w:rPr>
          <w:rFonts w:ascii="Arial" w:cs="Arial" w:eastAsia="Arial" w:hAnsi="Arial"/>
          <w:b/>
          <w:bCs/>
          <w:color w:val="1A1A1A"/>
          <w:sz w:val="24"/>
          <w:szCs w:val="24"/>
        </w:rPr>
        <w:t xml:space="preserve">Fee Structure Notes:</w:t>
      </w:r>
    </w:p>
    <w:p>
      <w:pPr>
        <w:pStyle w:val="ListParagraph"/>
        <w:numPr>
          <w:ilvl w:val="0"/>
          <w:numId w:val="1"/>
        </w:numPr>
        <w:spacing w:after="80" w:before="0" w:line="276" w:lineRule="auto"/>
      </w:pPr>
      <w:r>
        <w:rPr>
          <w:rFonts w:ascii="Arial" w:cs="Arial" w:eastAsia="Arial" w:hAnsi="Arial"/>
          <w:color w:val="1A1A1A"/>
          <w:sz w:val="24"/>
          <w:szCs w:val="24"/>
        </w:rPr>
        <w:t xml:space="preserve">IA will not be compensated on the basis of a share of capital gains upon or capital appreciation of the funds or any portion of the funds of the Account.</w:t>
      </w:r>
    </w:p>
    <w:p>
      <w:pPr>
        <w:pStyle w:val="ListParagraph"/>
        <w:numPr>
          <w:ilvl w:val="0"/>
          <w:numId w:val="1"/>
        </w:numPr>
        <w:spacing w:after="80" w:before="0" w:line="276" w:lineRule="auto"/>
      </w:pPr>
      <w:r>
        <w:rPr>
          <w:rFonts w:ascii="Arial" w:cs="Arial" w:eastAsia="Arial" w:hAnsi="Arial"/>
          <w:color w:val="1A1A1A"/>
          <w:sz w:val="24"/>
          <w:szCs w:val="24"/>
        </w:rPr>
        <w:t xml:space="preserve">Fees are paid monthly in advance. The advisory fee is calculated using the value of the assets in the Account on the last business day of the prior billing period.</w:t>
      </w:r>
    </w:p>
    <w:p>
      <w:pPr>
        <w:pStyle w:val="ListParagraph"/>
        <w:numPr>
          <w:ilvl w:val="0"/>
          <w:numId w:val="1"/>
        </w:numPr>
        <w:spacing w:after="80" w:before="0" w:line="276" w:lineRule="auto"/>
      </w:pPr>
      <w:r>
        <w:rPr>
          <w:rFonts w:ascii="Arial" w:cs="Arial" w:eastAsia="Arial" w:hAnsi="Arial"/>
          <w:color w:val="1A1A1A"/>
          <w:sz w:val="24"/>
          <w:szCs w:val="24"/>
        </w:rPr>
        <w:t xml:space="preserve">The advisory fee is a straight tier. For example, for AUM of $5,000,000, the annual fee rate is 0.60%, yielding a monthly fee of ($5,000,000 × 0.60%) ÷ 12 = $2,500.</w:t>
      </w:r>
    </w:p>
    <w:p>
      <w:pPr>
        <w:pStyle w:val="ListParagraph"/>
        <w:numPr>
          <w:ilvl w:val="0"/>
          <w:numId w:val="1"/>
        </w:numPr>
        <w:spacing w:after="80" w:before="0" w:line="276" w:lineRule="auto"/>
      </w:pPr>
      <w:r>
        <w:rPr>
          <w:rFonts w:ascii="Arial" w:cs="Arial" w:eastAsia="Arial" w:hAnsi="Arial"/>
          <w:color w:val="1A1A1A"/>
          <w:sz w:val="24"/>
          <w:szCs w:val="24"/>
        </w:rPr>
        <w:t xml:space="preserve">Fees are negotiable. Refer to BWP’s Form ADV Part 2A for complete fee disclosure.</w:t>
      </w:r>
    </w:p>
    <w:p>
      <w:pPr>
        <w:pStyle w:val="ListParagraph"/>
        <w:numPr>
          <w:ilvl w:val="0"/>
          <w:numId w:val="1"/>
        </w:numPr>
        <w:spacing w:after="80" w:before="0" w:line="276" w:lineRule="auto"/>
      </w:pPr>
      <w:r>
        <w:rPr>
          <w:rFonts w:ascii="Arial" w:cs="Arial" w:eastAsia="Arial" w:hAnsi="Arial"/>
          <w:color w:val="1A1A1A"/>
          <w:sz w:val="24"/>
          <w:szCs w:val="24"/>
        </w:rPr>
        <w:t xml:space="preserve">Upon termination of this Agreement, fees paid in advance will be prorated and any unearned portion refunded to Client.</w:t>
      </w:r>
    </w:p>
    <w:p>
      <w:pPr>
        <w:spacing w:after="160"/>
      </w:pPr>
      <w:r>
        <w:rPr>
          <w:sz w:val="2"/>
          <w:szCs w:val="2"/>
        </w:rPr>
        <w:t xml:space="preserve"/>
      </w:r>
    </w:p>
    <w:p>
      <w:pPr>
        <w:spacing w:after="80" w:before="80"/>
      </w:pPr>
      <w:r>
        <w:rPr>
          <w:rFonts w:ascii="Arial" w:cs="Arial" w:eastAsia="Arial" w:hAnsi="Arial"/>
          <w:b/>
          <w:bCs/>
          <w:color w:val="1A1A1A"/>
          <w:sz w:val="24"/>
          <w:szCs w:val="24"/>
        </w:rPr>
        <w:t xml:space="preserve">____/____  </w:t>
      </w:r>
      <w:r>
        <w:rPr>
          <w:rFonts w:ascii="Arial" w:cs="Arial" w:eastAsia="Arial" w:hAnsi="Arial"/>
          <w:color w:val="1A1A1A"/>
          <w:sz w:val="24"/>
          <w:szCs w:val="24"/>
        </w:rPr>
        <w:t xml:space="preserve">IA is authorized to withdraw management fees directly from the Account.</w:t>
      </w:r>
    </w:p>
    <w:p>
      <w:pPr>
        <w:spacing w:after="160" w:before="80"/>
      </w:pPr>
      <w:r>
        <w:rPr>
          <w:rFonts w:ascii="Arial" w:cs="Arial" w:eastAsia="Arial" w:hAnsi="Arial"/>
          <w:b/>
          <w:bCs/>
          <w:color w:val="1A1A1A"/>
          <w:sz w:val="24"/>
          <w:szCs w:val="24"/>
        </w:rPr>
        <w:t xml:space="preserve">____/____  </w:t>
      </w:r>
      <w:r>
        <w:rPr>
          <w:rFonts w:ascii="Arial" w:cs="Arial" w:eastAsia="Arial" w:hAnsi="Arial"/>
          <w:color w:val="1A1A1A"/>
          <w:sz w:val="24"/>
          <w:szCs w:val="24"/>
        </w:rPr>
        <w:t xml:space="preserve">By initialing here, Client agrees to the fee schedule above.</w:t>
      </w:r>
    </w:p>
    <w:p>
      <w:pPr>
        <w:pageBreakBefore/>
      </w:pPr>
      <w:r>
        <w:rPr>
          <w:sz w:val="2"/>
          <w:szCs w:val="2"/>
        </w:rPr>
        <w:t xml:space="preserve"/>
      </w:r>
    </w:p>
    <w:p>
      <w:pPr>
        <w:spacing w:after="80" w:before="200"/>
        <w:jc w:val="center"/>
      </w:pPr>
      <w:r>
        <w:rPr>
          <w:rFonts w:ascii="Arial" w:cs="Arial" w:eastAsia="Arial" w:hAnsi="Arial"/>
          <w:b/>
          <w:bCs/>
          <w:color w:val="1B3A5C"/>
          <w:sz w:val="32"/>
          <w:szCs w:val="32"/>
        </w:rPr>
        <w:t xml:space="preserve">EXHIBIT III — IDENTIFICATION OF CUSTODIAN</w:t>
      </w:r>
    </w:p>
    <w:p>
      <w:pPr>
        <w:spacing w:after="160" w:before="0"/>
        <w:jc w:val="center"/>
      </w:pPr>
      <w:r>
        <w:rPr>
          <w:rFonts w:ascii="Arial" w:cs="Arial" w:eastAsia="Arial" w:hAnsi="Arial"/>
          <w:color w:val="666666"/>
          <w:sz w:val="22"/>
          <w:szCs w:val="22"/>
        </w:rPr>
        <w:t xml:space="preserve">Effective Date: April 13, 2026</w:t>
      </w:r>
    </w:p>
    <w:p>
      <w:pPr>
        <w:pStyle w:val="Heading2"/>
        <w:keepNext/>
        <w:keepLines/>
        <w:spacing w:after="100" w:before="200"/>
      </w:pPr>
      <w:r>
        <w:rPr>
          <w:rFonts w:ascii="Arial" w:cs="Arial" w:eastAsia="Arial" w:hAnsi="Arial"/>
          <w:b/>
          <w:bCs/>
          <w:color w:val="2E6B9E"/>
          <w:sz w:val="28"/>
          <w:szCs w:val="28"/>
        </w:rPr>
        <w:t xml:space="preserve">Primary Custodian</w:t>
      </w:r>
    </w:p>
    <w:p>
      <w:pPr>
        <w:spacing w:after="120" w:before="0" w:line="276" w:lineRule="auto"/>
      </w:pPr>
      <w:r>
        <w:rPr>
          <w:rFonts w:ascii="Arial" w:cs="Arial" w:eastAsia="Arial" w:hAnsi="Arial"/>
          <w:b/>
          <w:bCs/>
          <w:color w:val="1A1A1A"/>
          <w:sz w:val="24"/>
          <w:szCs w:val="24"/>
        </w:rPr>
        <w:t xml:space="preserve">Altruist Financial, LLC</w:t>
      </w:r>
    </w:p>
    <w:p>
      <w:pPr>
        <w:spacing w:after="120" w:before="0" w:line="276" w:lineRule="auto"/>
      </w:pPr>
      <w:r>
        <w:rPr>
          <w:rFonts w:ascii="Arial" w:cs="Arial" w:eastAsia="Arial" w:hAnsi="Arial"/>
          <w:color w:val="1A1A1A"/>
          <w:sz w:val="24"/>
          <w:szCs w:val="24"/>
        </w:rPr>
        <w:t xml:space="preserve">CRD# 299274</w:t>
      </w:r>
    </w:p>
    <w:p>
      <w:pPr>
        <w:spacing w:after="120" w:before="0" w:line="276" w:lineRule="auto"/>
      </w:pPr>
      <w:r>
        <w:rPr>
          <w:rFonts w:ascii="Arial" w:cs="Arial" w:eastAsia="Arial" w:hAnsi="Arial"/>
          <w:color w:val="1A1A1A"/>
          <w:sz w:val="24"/>
          <w:szCs w:val="24"/>
        </w:rPr>
        <w:t xml:space="preserve">Custodial services for BWP client accounts are primarily provided by Altruist Financial, LLC (“Altruist”). Altruist is an independent, third-party qualified custodian.</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Client will receive quarterly account statements directly from Altruist Financial, LLC. Such statements will include, at a minimum, the account balance, all securities held, and all account activity during the statement period. Clients are encouraged to review their custodial statements carefully and to compare them with any reports provided by BWP.</w:t>
      </w:r>
    </w:p>
    <w:p>
      <w:pPr>
        <w:spacing w:after="60"/>
      </w:pPr>
      <w:r>
        <w:rPr>
          <w:sz w:val="2"/>
          <w:szCs w:val="2"/>
        </w:rPr>
        <w:t xml:space="preserve"/>
      </w:r>
    </w:p>
    <w:p>
      <w:pPr>
        <w:spacing w:after="120" w:before="0" w:line="276" w:lineRule="auto"/>
      </w:pPr>
      <w:r>
        <w:rPr>
          <w:rFonts w:ascii="Arial" w:cs="Arial" w:eastAsia="Arial" w:hAnsi="Arial"/>
          <w:b/>
          <w:bCs/>
          <w:color w:val="1A1A1A"/>
          <w:sz w:val="24"/>
          <w:szCs w:val="24"/>
        </w:rPr>
        <w:t xml:space="preserve">Altruist Fee Schedule: </w:t>
      </w:r>
      <w:r>
        <w:rPr>
          <w:rFonts w:ascii="Arial" w:cs="Arial" w:eastAsia="Arial" w:hAnsi="Arial"/>
          <w:color w:val="1A1A1A"/>
          <w:sz w:val="24"/>
          <w:szCs w:val="24"/>
        </w:rPr>
        <w:t xml:space="preserve">Additional fees for Altruist services are available at: https://altruist.com/m/20240401_Altruist_Fee_Schedule.pdf</w:t>
      </w:r>
    </w:p>
    <w:p>
      <w:pPr>
        <w:spacing w:after="80"/>
      </w:pPr>
      <w:r>
        <w:rPr>
          <w:sz w:val="2"/>
          <w:szCs w:val="2"/>
        </w:rPr>
        <w:t xml:space="preserve"/>
      </w:r>
    </w:p>
    <w:p>
      <w:pPr>
        <w:pStyle w:val="Heading2"/>
        <w:keepNext/>
        <w:keepLines/>
        <w:spacing w:after="100" w:before="200"/>
      </w:pPr>
      <w:r>
        <w:rPr>
          <w:rFonts w:ascii="Arial" w:cs="Arial" w:eastAsia="Arial" w:hAnsi="Arial"/>
          <w:b/>
          <w:bCs/>
          <w:color w:val="2E6B9E"/>
          <w:sz w:val="28"/>
          <w:szCs w:val="28"/>
        </w:rPr>
        <w:t xml:space="preserve">Additional Custodian</w:t>
      </w:r>
    </w:p>
    <w:p>
      <w:pPr>
        <w:spacing w:after="120" w:before="0" w:line="276" w:lineRule="auto"/>
      </w:pPr>
      <w:r>
        <w:rPr>
          <w:rFonts w:ascii="Arial" w:cs="Arial" w:eastAsia="Arial" w:hAnsi="Arial"/>
          <w:color w:val="1A1A1A"/>
          <w:sz w:val="24"/>
          <w:szCs w:val="24"/>
        </w:rPr>
        <w:t xml:space="preserve">Goldman Sachs Custody Solutions may also serve as custodian for certain accounts. Where applicable, the specific custodian will be identified in Exhibit I above.</w:t>
      </w:r>
    </w:p>
    <w:p>
      <w:pPr>
        <w:spacing w:after="60"/>
      </w:pPr>
      <w:r>
        <w:rPr>
          <w:sz w:val="2"/>
          <w:szCs w:val="2"/>
        </w:rPr>
        <w:t xml:space="preserve"/>
      </w:r>
    </w:p>
    <w:p>
      <w:pPr>
        <w:pStyle w:val="Heading2"/>
        <w:keepNext/>
        <w:keepLines/>
        <w:spacing w:after="100" w:before="200"/>
      </w:pPr>
      <w:r>
        <w:rPr>
          <w:rFonts w:ascii="Arial" w:cs="Arial" w:eastAsia="Arial" w:hAnsi="Arial"/>
          <w:b/>
          <w:bCs/>
          <w:color w:val="2E6B9E"/>
          <w:sz w:val="28"/>
          <w:szCs w:val="28"/>
        </w:rPr>
        <w:t xml:space="preserve">Custody Note</w:t>
      </w:r>
    </w:p>
    <w:p>
      <w:pPr>
        <w:spacing w:after="120" w:before="0" w:line="276" w:lineRule="auto"/>
      </w:pPr>
      <w:r>
        <w:rPr>
          <w:rFonts w:ascii="Arial" w:cs="Arial" w:eastAsia="Arial" w:hAnsi="Arial"/>
          <w:color w:val="1A1A1A"/>
          <w:sz w:val="24"/>
          <w:szCs w:val="24"/>
        </w:rPr>
        <w:t xml:space="preserve">A copy of the custodian’s agreement is not attached as part of this Exhibit III. Clients should contact BWP or directly contact the Custodian if they wish to obtain a copy of the custodial agreement.</w:t>
      </w:r>
    </w:p>
    <w:p>
      <w:pPr>
        <w:spacing w:after="200"/>
      </w:pPr>
      <w:r>
        <w:rPr>
          <w:sz w:val="2"/>
          <w:szCs w:val="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s>
    </w:pPr>
    <w:r>
      <w:rPr>
        <w:rFonts w:ascii="Arial" w:cs="Arial" w:eastAsia="Arial" w:hAnsi="Arial"/>
        <w:color w:val="888888"/>
        <w:sz w:val="16"/>
        <w:szCs w:val="16"/>
      </w:rPr>
      <w:t xml:space="preserve">Investment Advisory Contract (v.04.2026)    </w:t>
    </w:r>
    <w:r>
      <w:rPr>
        <w:rFonts w:ascii="Arial" w:cs="Arial" w:eastAsia="Arial" w:hAnsi="Arial"/>
        <w:color w:val="888888"/>
        <w:sz w:val="18"/>
        <w:szCs w:val="18"/>
      </w:rPr>
      <w:t xml:space="preserve">Page </w:t>
    </w:r>
    <w:fldSimple w:instr="PAGE">
      <w:r>
        <w:rPr>
          <w:rFonts w:ascii="Arial" w:cs="Arial" w:eastAsia="Arial" w:hAnsi="Arial"/>
          <w:color w:val="888888"/>
          <w:sz w:val="18"/>
          <w:szCs w:val="18"/>
        </w:rPr>
      </w:r>
    </w:fldSimple>
    <w:r>
      <w:rPr>
        <w:rFonts w:ascii="Arial" w:cs="Arial" w:eastAsia="Arial" w:hAnsi="Arial"/>
        <w:color w:val="888888"/>
        <w:sz w:val="18"/>
        <w:szCs w:val="18"/>
      </w:rPr>
      <w:t xml:space="preserve"> of </w:t>
    </w:r>
    <w:fldSimple w:instr="NUMPAGES">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Buckeye Wealth Partners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40"/>
      <w:outlineLvl w:val="0"/>
    </w:pPr>
    <w:rPr>
      <w:rFonts w:ascii="Arial" w:cs="Arial" w:eastAsia="Arial" w:hAnsi="Arial"/>
      <w:b/>
      <w:bCs/>
      <w:sz w:val="32"/>
      <w:szCs w:val="32"/>
    </w:rPr>
  </w:style>
  <w:style w:type="paragraph" w:styleId="Heading2">
    <w:name w:val="Heading 2"/>
    <w:basedOn w:val="Normal"/>
    <w:next w:val="Normal"/>
    <w:qFormat/>
    <w:pPr>
      <w:keepNext/>
      <w:keepLines/>
      <w:spacing w:after="100" w:before="200"/>
      <w:outlineLvl w:val="1"/>
    </w:pPr>
    <w:rPr>
      <w:rFonts w:ascii="Arial" w:cs="Arial" w:eastAsia="Arial" w:hAnsi="Arial"/>
      <w:b/>
      <w:bCs/>
      <w:sz w:val="28"/>
      <w:szCs w:val="28"/>
    </w:rPr>
  </w:style>
  <w:style w:type="paragraph" w:styleId="Heading3">
    <w:name w:val="Heading 3"/>
    <w:basedOn w:val="Normal"/>
    <w:next w:val="Normal"/>
    <w:qFormat/>
    <w:pPr>
      <w:keepNext/>
      <w:keepLines/>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2026-04-13T14:29:39.838Z</dcterms:created>
  <dcterms:modified xsi:type="dcterms:W3CDTF">2026-04-13T14:29:39.838Z</dcterms:modified>
</cp:coreProperties>
</file>

<file path=docProps/custom.xml><?xml version="1.0" encoding="utf-8"?>
<Properties xmlns="http://schemas.openxmlformats.org/officeDocument/2006/custom-properties" xmlns:vt="http://schemas.openxmlformats.org/officeDocument/2006/docPropsVTypes"/>
</file>