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28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October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7:00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/>
      </w:pPr>
      <w:r w:rsidDel="00000000" w:rsidR="00000000" w:rsidRPr="00000000">
        <w:rPr>
          <w:rtl w:val="0"/>
        </w:rPr>
        <w:t xml:space="preserve">Evan, Jay, Jack, Parker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/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tasks better so they are not so broad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flesh out requirements for each sprint with Walden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 around with the SIEM dashboard, experimentation with visualizations like ELK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6 reduce false positives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Wazuh agents work as EDRs on machines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Agents on victim and metasploitable 3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 better idea on Dr. Walden’s perspective of a “working model”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color w:val="000000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log forwarding to work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snapshots at the end of the sprint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with Walden about Network topology (jack)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pfSense logs to SIEM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gitlab Metasploitable documentation from lab notebook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Thursday: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NIDS logs are forwarded properly to SIEM (Evan)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host base logs are forwarded using syslog (Evan)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 of Metasploitable 3 attack and logs appearing within SIEM (if above completed)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Glossary with new terminology (Parker)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issue for all tasks listed above (Parker)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Make updated network diagram (Jay)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agenda for Stahr Meeting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 diagram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Metasploitable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Explain Wazuh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of Sprint: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sprint tasks: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an initial version of dashboard GUI objects going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Tune Suricata and Wazuh to reduce false positives on alerts? (seperate tasks?)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Log&amp;Alert indexing/formatting schema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 in</w:t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