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ongti SC" w:cs="Times New Roman"/>
        </w:rPr>
        <w:t>Week 3 Evaluation Protocol</w:t>
      </w:r>
    </w:p>
    <w:p>
      <w:r>
        <w:rPr>
          <w:rFonts w:ascii="Times New Roman" w:hAnsi="Times New Roman" w:eastAsia="Songti SC" w:cs="Times New Roman"/>
        </w:rPr>
        <w:t>Version 1.0 | October 27 2026 | Frozen evaluation methodology</w:t>
      </w:r>
    </w:p>
    <w:p>
      <w:r>
        <w:rPr>
          <w:rFonts w:ascii="Times New Roman" w:hAnsi="Times New Roman" w:eastAsia="Songti SC" w:cs="Times New Roman"/>
        </w:rPr>
        <w:t>This protocol defines how ingen_eval_suite measures grounded dialogue, spatial and temporal reasoning, entity recognition, and alignment with requested tasks. Use the metric definitions together with their coverage and error counts. A high score establishes only the stated property under the supplied annotations.</w:t>
      </w:r>
    </w:p>
    <w:p>
      <w:r>
        <w:rPr>
          <w:rFonts w:ascii="Times New Roman" w:hAnsi="Times New Roman" w:eastAsia="Songti SC" w:cs="Times New Roman"/>
        </w:rPr>
        <w:t xml:space="preserve">The structured metrics and experiment pipeline are implemented and tested. Dataset release 2.0.0 contains 200 cases. Content/reference review of all 100 additions and native authorship or substantive native reworking and review of all 35 new Chinese cases were confirmed on October 27 2026. This protocol is frozen before generation. Execution status, model outputs, analysis, and the notebook are recorded separately through the </w:t>
      </w:r>
      <w:hyperlink r:id="rId10">
        <w:r>
          <w:rPr>
            <w:rFonts w:ascii="Times New Roman" w:hAnsi="Times New Roman" w:eastAsia="Songti SC" w:cs="Times New Roman"/>
            <w:color w:val="17365D"/>
            <w:u w:val="single"/>
          </w:rPr>
          <w:t>Week 3 review package</w:t>
        </w:r>
      </w:hyperlink>
      <w:r>
        <w:rPr>
          <w:rFonts w:ascii="Times New Roman" w:hAnsi="Times New Roman" w:eastAsia="Songti SC" w:cs="Times New Roman"/>
        </w:rPr>
        <w:t>.</w:t>
      </w:r>
    </w:p>
    <w:p>
      <w:pPr>
        <w:pStyle w:val="Heading1"/>
      </w:pPr>
      <w:r>
        <w:rPr>
          <w:rFonts w:ascii="Times New Roman" w:hAnsi="Times New Roman" w:eastAsia="Songti SC" w:cs="Times New Roman"/>
        </w:rPr>
        <w:t>Scope and cohorts</w:t>
      </w:r>
    </w:p>
    <w:p>
      <w:r>
        <w:rPr>
          <w:rFonts w:ascii="Times New Roman" w:hAnsi="Times New Roman" w:eastAsia="Songti SC" w:cs="Times New Roman"/>
        </w:rPr>
        <w:t>The suite contains 155 RAG cases, 10 spatial cases, 5 temporal cases, 15 entity cases, and 15 task-alignment cases. STUM, SEOM, and HTD-IRL are the assigned task labels. Text scene reasoning does not establish visual perception, reward learning, physical execution, or performance of unavailable internal systems. AMDC and CRL-MRS retain future-work scope.</w:t>
      </w:r>
    </w:p>
    <w:p>
      <w:r>
        <w:rPr>
          <w:rFonts w:ascii="Times New Roman" w:hAnsi="Times New Roman" w:eastAsia="Songti SC" w:cs="Times New Roman"/>
        </w:rPr>
        <w:t>Preserve the original 100 records and the Week 2 experiment. The 100 additions have 20 calibration families and 80 held-out families, with 65 English and 35 Chinese cases. The previously inspected original cohort is historical regression evidence; it is not newly untouched held-out evidence. Annotation review before freezing is separate from using model errors to tune a scorer or prompt.</w:t>
      </w:r>
    </w:p>
    <w:p>
      <w:pPr>
        <w:pStyle w:val="Heading1"/>
      </w:pPr>
      <w:r>
        <w:rPr>
          <w:rFonts w:ascii="Times New Roman" w:hAnsi="Times New Roman" w:eastAsia="Songti SC" w:cs="Times New Roman"/>
        </w:rPr>
        <w:t>Evidence and information boundaries</w:t>
      </w:r>
    </w:p>
    <w:p>
      <w:r>
        <w:rPr>
          <w:rFonts w:ascii="Times New Roman" w:hAnsi="Times New Roman" w:eastAsia="Songti SC" w:cs="Times New Roman"/>
        </w:rPr>
        <w:t xml:space="preserve">New evidence and visible event descriptions use an explicit name, </w:t>
      </w:r>
      <w:r>
        <w:rPr>
          <w:rFonts w:ascii="Times New Roman" w:hAnsi="Times New Roman" w:eastAsia="Songti SC" w:cs="Times New Roman"/>
          <w:i/>
        </w:rPr>
        <w:t>user</w:t>
      </w:r>
      <w:r>
        <w:rPr>
          <w:rFonts w:ascii="Times New Roman" w:hAnsi="Times New Roman" w:eastAsia="Songti SC" w:cs="Times New Roman"/>
        </w:rPr>
        <w:t xml:space="preserve">, </w:t>
      </w:r>
      <w:r>
        <w:rPr>
          <w:rFonts w:ascii="Songti SC" w:hAnsi="Songti SC" w:eastAsia="Songti SC" w:cs="Songti SC" w:hint="eastAsia"/>
          <w:i/>
          <w:lang w:val="zh-CN" w:eastAsia="zh-CN"/>
        </w:rPr>
        <w:t>用户</w:t>
      </w:r>
      <w:r>
        <w:rPr>
          <w:rFonts w:ascii="Times New Roman" w:hAnsi="Times New Roman" w:eastAsia="Songti SC" w:cs="Times New Roman"/>
        </w:rPr>
        <w:t>, or a specific object or event. Personal pronouns remain appropriate in queries and expected dialogue answers. Evidence must not depend on whether the reader is the robot or user. A lexical validator checks common personal pronouns; human review checks actual meaning. Frozen legacy wording is exempt.</w:t>
      </w:r>
    </w:p>
    <w:p>
      <w:r>
        <w:rPr>
          <w:rFonts w:ascii="Times New Roman" w:hAnsi="Times New Roman" w:eastAsia="Songti SC" w:cs="Times New Roman"/>
        </w:rPr>
        <w:t xml:space="preserve">Generation receives only platform, requested language, query, numbered evidence, allowlisted history, learner information, current-user identity, and task inputs. Hidden references, aliases, constraints, goals, review notes, split labels, and probes must never enter the generation prompt. Use only the generic class/action menu and requested relation or event descriptions from </w:t>
      </w:r>
      <w:r>
        <w:rPr>
          <w:rFonts w:ascii="Times New Roman" w:hAnsi="Times New Roman" w:eastAsia="Songti SC" w:cs="Times New Roman"/>
          <w:i/>
        </w:rPr>
        <w:t>task_input</w:t>
      </w:r>
      <w:r>
        <w:rPr>
          <w:rFonts w:ascii="Times New Roman" w:hAnsi="Times New Roman" w:eastAsia="Songti SC" w:cs="Times New Roman"/>
        </w:rPr>
        <w:t>.</w:t>
      </w:r>
    </w:p>
    <w:p>
      <w:r>
        <w:rPr>
          <w:rFonts w:ascii="Times New Roman" w:hAnsi="Times New Roman" w:eastAsia="Songti SC" w:cs="Times New Roman"/>
        </w:rPr>
        <w:br w:type="page"/>
      </w:r>
    </w:p>
    <w:p>
      <w:pPr>
        <w:pStyle w:val="Heading1"/>
      </w:pPr>
      <w:r>
        <w:rPr>
          <w:rFonts w:ascii="Times New Roman" w:hAnsi="Times New Roman" w:eastAsia="Songti SC" w:cs="Times New Roman"/>
        </w:rPr>
        <w:t>Context recall and lexical recall</w:t>
      </w:r>
    </w:p>
    <w:p>
      <w:r>
        <w:rPr>
          <w:rFonts w:ascii="Times New Roman" w:hAnsi="Times New Roman" w:eastAsia="Songti SC" w:cs="Times New Roman"/>
          <w:b/>
        </w:rPr>
        <w:t>Context recall definition.</w:t>
      </w:r>
      <w:r>
        <w:rPr>
          <w:rFonts w:ascii="Times New Roman" w:hAnsi="Times New Roman" w:eastAsia="Songti SC" w:cs="Times New Roman"/>
        </w:rPr>
        <w:t xml:space="preserve"> Let F be the canonical required facts and S the facts annotated </w:t>
      </w:r>
      <w:r>
        <w:rPr>
          <w:rFonts w:ascii="Times New Roman" w:hAnsi="Times New Roman" w:eastAsia="Songti SC" w:cs="Times New Roman"/>
          <w:i/>
        </w:rPr>
        <w:t>context_support="supported"</w:t>
      </w:r>
      <w:r>
        <w:rPr>
          <w:rFonts w:ascii="Times New Roman" w:hAnsi="Times New Roman" w:eastAsia="Songti SC" w:cs="Times New Roman"/>
        </w:rPr>
        <w:t xml:space="preserve"> in the supplied context. </w:t>
      </w:r>
      <w:r>
        <w:rPr>
          <w:rFonts w:ascii="Times New Roman" w:hAnsi="Times New Roman" w:eastAsia="Songti SC" w:cs="Times New Roman"/>
          <w:i/>
        </w:rPr>
        <w:t>context_recall = |S| / |F|</w:t>
      </w:r>
      <w:r>
        <w:rPr>
          <w:rFonts w:ascii="Times New Roman" w:hAnsi="Times New Roman" w:eastAsia="Songti SC" w:cs="Times New Roman"/>
        </w:rPr>
        <w:t xml:space="preserve">. Unsupported and conflicting facts remain in F and receive no support credit. With no required facts the score is null with status </w:t>
      </w:r>
      <w:r>
        <w:rPr>
          <w:rFonts w:ascii="Times New Roman" w:hAnsi="Times New Roman" w:eastAsia="Songti SC" w:cs="Times New Roman"/>
          <w:i/>
        </w:rPr>
        <w:t>not_applicable</w:t>
      </w:r>
      <w:r>
        <w:rPr>
          <w:rFonts w:ascii="Times New Roman" w:hAnsi="Times New Roman" w:eastAsia="Songti SC" w:cs="Times New Roman"/>
        </w:rPr>
        <w:t>. Positive support with empty context is invalid.</w:t>
      </w:r>
    </w:p>
    <w:p>
      <w:r>
        <w:rPr>
          <w:rFonts w:ascii="Times New Roman" w:hAnsi="Times New Roman" w:eastAsia="Songti SC" w:cs="Times New Roman"/>
          <w:b/>
        </w:rPr>
        <w:t>Range and interpretation.</w:t>
      </w:r>
      <w:r>
        <w:rPr>
          <w:rFonts w:ascii="Times New Roman" w:hAnsi="Times New Roman" w:eastAsia="Songti SC" w:cs="Times New Roman"/>
        </w:rPr>
        <w:t xml:space="preserve"> The defined range is [0, 1]. Zero means no required fact is supported; one means all are supported. Increasing supported facts while holding F fixed cannot lower recall. This is an evidence-sufficiency measure, independent of the generated response. It cannot establish answer correctness, retriever ranking quality, or whether a model used the evidence.</w:t>
      </w:r>
    </w:p>
    <w:p>
      <w:r>
        <w:rPr>
          <w:rFonts w:ascii="Times New Roman" w:hAnsi="Times New Roman" w:eastAsia="Songti SC" w:cs="Times New Roman"/>
          <w:b/>
        </w:rPr>
        <w:t>Failure example.</w:t>
      </w:r>
      <w:r>
        <w:rPr>
          <w:rFonts w:ascii="Times New Roman" w:hAnsi="Times New Roman" w:eastAsia="Songti SC" w:cs="Times New Roman"/>
        </w:rPr>
        <w:t xml:space="preserve"> If the required facts are a meeting time and a room, but only the time is supplied, recall is 1/2 even when the ideal answer correctly asks for the room. Removing the room from F would falsely turn missing evidence into perfect recall. A wrong model answer can still accompany recall of one.</w:t>
      </w:r>
    </w:p>
    <w:p>
      <w:r>
        <w:rPr>
          <w:rFonts w:ascii="Times New Roman" w:hAnsi="Times New Roman" w:eastAsia="Songti SC" w:cs="Times New Roman"/>
          <w:b/>
        </w:rPr>
        <w:t>Calibration and languages.</w:t>
      </w:r>
      <w:r>
        <w:rPr>
          <w:rFonts w:ascii="Times New Roman" w:hAnsi="Times New Roman" w:eastAsia="Songti SC" w:cs="Times New Roman"/>
        </w:rPr>
        <w:t xml:space="preserve"> No numeric threshold is fitted. Reviewers check the canonical facts, support labels, conflict policy, passage links, and arithmetic derivations. Equivalent EN/ZH facts follow the same counting rule; fact granularity must be reviewed because splitting one proposition changes the denominator. Native Chinese review is required for new Chinese references.</w:t>
      </w:r>
    </w:p>
    <w:p>
      <w:r>
        <w:rPr>
          <w:rFonts w:ascii="Times New Roman" w:hAnsi="Times New Roman" w:eastAsia="Songti SC" w:cs="Times New Roman"/>
          <w:b/>
        </w:rPr>
        <w:t>Lexical reference recall definition.</w:t>
      </w:r>
      <w:r>
        <w:rPr>
          <w:rFonts w:ascii="Times New Roman" w:hAnsi="Times New Roman" w:eastAsia="Songti SC" w:cs="Times New Roman"/>
        </w:rPr>
        <w:t xml:space="preserve"> Let T be the unique tokens of the ideal response and C the unique tokens of all evidence. </w:t>
      </w:r>
      <w:r>
        <w:rPr>
          <w:rFonts w:ascii="Times New Roman" w:hAnsi="Times New Roman" w:eastAsia="Songti SC" w:cs="Times New Roman"/>
          <w:i/>
        </w:rPr>
        <w:t>lexical_recall = |T ∩ C| / |T|</w:t>
      </w:r>
      <w:r>
        <w:rPr>
          <w:rFonts w:ascii="Times New Roman" w:hAnsi="Times New Roman" w:eastAsia="Songti SC" w:cs="Times New Roman"/>
        </w:rPr>
        <w:t xml:space="preserve">. An empty T is </w:t>
      </w:r>
      <w:r>
        <w:rPr>
          <w:rFonts w:ascii="Times New Roman" w:hAnsi="Times New Roman" w:eastAsia="Songti SC" w:cs="Times New Roman"/>
          <w:i/>
        </w:rPr>
        <w:t>not_applicable</w:t>
      </w:r>
      <w:r>
        <w:rPr>
          <w:rFonts w:ascii="Times New Roman" w:hAnsi="Times New Roman" w:eastAsia="Songti SC" w:cs="Times New Roman"/>
        </w:rPr>
        <w:t>. Defined values lie in [0, 1]. With fixed T, adding matching evidence tokens cannot reduce recall.</w:t>
      </w:r>
    </w:p>
    <w:p>
      <w:r>
        <w:rPr>
          <w:rFonts w:ascii="Times New Roman" w:hAnsi="Times New Roman" w:eastAsia="Songti SC" w:cs="Times New Roman"/>
          <w:b/>
        </w:rPr>
        <w:t>Limits and calibration.</w:t>
      </w:r>
      <w:r>
        <w:rPr>
          <w:rFonts w:ascii="Times New Roman" w:hAnsi="Times New Roman" w:eastAsia="Songti SC" w:cs="Times New Roman"/>
        </w:rPr>
        <w:t xml:space="preserve"> Lexical recall is a supplementary diagnostic with no acceptance threshold. The reference answer and the evidence can express the same fact with different words, time formats, calculations, or a clarification. Adding irrelevant text containing the answer words can raise recall without supplying the fact. Therefore it must not replace context recall or become a pass criterion.</w:t>
      </w:r>
    </w:p>
    <w:p>
      <w:r>
        <w:rPr>
          <w:rFonts w:ascii="Times New Roman" w:hAnsi="Times New Roman" w:eastAsia="Songti SC" w:cs="Times New Roman"/>
        </w:rPr>
        <w:t xml:space="preserve">English uses the retained lowercase NFC regular-expression tokenizer. Chinese and Chinese sentences with English content words use the retained jieba tokenizer. Unique-token recall does not correct for segmentation, synonyms, or length, so EN/ZH means should not be interpreted as a language ranking. Implementations are in </w:t>
      </w:r>
      <w:hyperlink r:id="rId11">
        <w:r>
          <w:rPr>
            <w:rFonts w:ascii="Times New Roman" w:hAnsi="Times New Roman" w:eastAsia="Songti SC" w:cs="Times New Roman"/>
            <w:color w:val="17365D"/>
            <w:u w:val="single"/>
          </w:rPr>
          <w:t>the retained RAG module</w:t>
        </w:r>
      </w:hyperlink>
      <w:r>
        <w:rPr>
          <w:rFonts w:ascii="Times New Roman" w:hAnsi="Times New Roman" w:eastAsia="Songti SC" w:cs="Times New Roman"/>
        </w:rPr>
        <w:t>.</w:t>
      </w:r>
    </w:p>
    <w:p>
      <w:r>
        <w:rPr>
          <w:rFonts w:ascii="Times New Roman" w:hAnsi="Times New Roman" w:eastAsia="Songti SC" w:cs="Times New Roman"/>
        </w:rPr>
        <w:br w:type="page"/>
      </w:r>
    </w:p>
    <w:p>
      <w:pPr>
        <w:pStyle w:val="Heading1"/>
      </w:pPr>
      <w:r>
        <w:rPr>
          <w:rFonts w:ascii="Times New Roman" w:hAnsi="Times New Roman" w:eastAsia="Songti SC" w:cs="Times New Roman"/>
        </w:rPr>
        <w:t>Faithfulness proxy</w:t>
      </w:r>
    </w:p>
    <w:p>
      <w:r>
        <w:rPr>
          <w:rFonts w:ascii="Times New Roman" w:hAnsi="Times New Roman" w:eastAsia="Songti SC" w:cs="Times New Roman"/>
          <w:b/>
        </w:rPr>
        <w:t>Definition.</w:t>
      </w:r>
      <w:r>
        <w:rPr>
          <w:rFonts w:ascii="Times New Roman" w:hAnsi="Times New Roman" w:eastAsia="Songti SC" w:cs="Times New Roman"/>
        </w:rPr>
        <w:t xml:space="preserve"> Extract atomic factual claims from the unmodified model response. For each claim c, split evidence into punctuation-based segments and compute </w:t>
      </w:r>
      <w:r>
        <w:rPr>
          <w:rFonts w:ascii="Times New Roman" w:hAnsi="Times New Roman" w:eastAsia="Songti SC" w:cs="Times New Roman"/>
          <w:i/>
        </w:rPr>
        <w:t>s(c) = max cosine(E_query(c), E_passage(segment))</w:t>
      </w:r>
      <w:r>
        <w:rPr>
          <w:rFonts w:ascii="Times New Roman" w:hAnsi="Times New Roman" w:eastAsia="Songti SC" w:cs="Times New Roman"/>
        </w:rPr>
        <w:t xml:space="preserve">. Mark c supported by the proxy when </w:t>
      </w:r>
      <w:r>
        <w:rPr>
          <w:rFonts w:ascii="Times New Roman" w:hAnsi="Times New Roman" w:eastAsia="Songti SC" w:cs="Times New Roman"/>
          <w:i/>
        </w:rPr>
        <w:t>s(c) &gt;= tau</w:t>
      </w:r>
      <w:r>
        <w:rPr>
          <w:rFonts w:ascii="Times New Roman" w:hAnsi="Times New Roman" w:eastAsia="Songti SC" w:cs="Times New Roman"/>
        </w:rPr>
        <w:t xml:space="preserve">. The score is passing claims divided by extracted claims. With no evidence each nonempty claim fails support. With no factual claims the ratio is null with status </w:t>
      </w:r>
      <w:r>
        <w:rPr>
          <w:rFonts w:ascii="Times New Roman" w:hAnsi="Times New Roman" w:eastAsia="Songti SC" w:cs="Times New Roman"/>
          <w:i/>
        </w:rPr>
        <w:t>not_applicable</w:t>
      </w:r>
      <w:r>
        <w:rPr>
          <w:rFonts w:ascii="Times New Roman" w:hAnsi="Times New Roman" w:eastAsia="Songti SC" w:cs="Times New Roman"/>
        </w:rPr>
        <w:t>; it is not perfect faithfulness.</w:t>
      </w:r>
    </w:p>
    <w:p>
      <w:r>
        <w:rPr>
          <w:rFonts w:ascii="Times New Roman" w:hAnsi="Times New Roman" w:eastAsia="Songti SC" w:cs="Times New Roman"/>
          <w:b/>
        </w:rPr>
        <w:t>Range and monotonicity.</w:t>
      </w:r>
      <w:r>
        <w:rPr>
          <w:rFonts w:ascii="Times New Roman" w:hAnsi="Times New Roman" w:eastAsia="Songti SC" w:cs="Times New Roman"/>
        </w:rPr>
        <w:t xml:space="preserve"> Defined scores lie in [0, 1]. With a fixed claim list, encoder, threshold, and evidence segmentation, increasing a claim similarity through the threshold cannot lower the score. Adding a passing claim may raise the mean; adding a failing claim lowers it. Changes to extraction change the denominator, so scores are not monotonic in response length or answer quality.</w:t>
      </w:r>
    </w:p>
    <w:p>
      <w:r>
        <w:rPr>
          <w:rFonts w:ascii="Times New Roman" w:hAnsi="Times New Roman" w:eastAsia="Songti SC" w:cs="Times New Roman"/>
          <w:b/>
        </w:rPr>
        <w:t>Approximation gap.</w:t>
      </w:r>
      <w:r>
        <w:rPr>
          <w:rFonts w:ascii="Times New Roman" w:hAnsi="Times New Roman" w:eastAsia="Songti SC" w:cs="Times New Roman"/>
        </w:rPr>
        <w:t xml:space="preserve"> Embedding similarity measures retrieval association, not logical entailment. A segment can mention the correct topic while omitting the claimed number, room, person, or prerequisite. Maximum single-segment retrieval can accept one side of an unresolved conflict. The metric does not establish numerical correctness, causal validity, instruction compliance, or completeness.</w:t>
      </w:r>
    </w:p>
    <w:p>
      <w:r>
        <w:rPr>
          <w:rFonts w:ascii="Times New Roman" w:hAnsi="Times New Roman" w:eastAsia="Songti SC" w:cs="Times New Roman"/>
          <w:b/>
        </w:rPr>
        <w:t>Recorded counterexamples.</w:t>
      </w:r>
      <w:r>
        <w:rPr>
          <w:rFonts w:ascii="Times New Roman" w:hAnsi="Times New Roman" w:eastAsia="Songti SC" w:cs="Times New Roman"/>
        </w:rPr>
        <w:t xml:space="preserve"> The Week 2 calibration accepted an unsupported room claim at cosine 0.8653 and a time claim under unresolved conflict at 0.9267. The selected threshold was 0.80. Raising the threshold to 0.90 rejected 23 of 27 supported calibration facts. These observations motivate separate failure review; they do not justify retuning against the original held-out cases. See the </w:t>
      </w:r>
      <w:hyperlink r:id="rId12">
        <w:r>
          <w:rPr>
            <w:rFonts w:ascii="Times New Roman" w:hAnsi="Times New Roman" w:eastAsia="Songti SC" w:cs="Times New Roman"/>
            <w:color w:val="17365D"/>
            <w:u w:val="single"/>
          </w:rPr>
          <w:t>recorded results and calibration</w:t>
        </w:r>
      </w:hyperlink>
      <w:r>
        <w:rPr>
          <w:rFonts w:ascii="Times New Roman" w:hAnsi="Times New Roman" w:eastAsia="Songti SC" w:cs="Times New Roman"/>
        </w:rPr>
        <w:t>.</w:t>
      </w:r>
    </w:p>
    <w:p>
      <w:r>
        <w:rPr>
          <w:rFonts w:ascii="Times New Roman" w:hAnsi="Times New Roman" w:eastAsia="Songti SC" w:cs="Times New Roman"/>
          <w:b/>
        </w:rPr>
        <w:t>Claim review.</w:t>
      </w:r>
      <w:r>
        <w:rPr>
          <w:rFonts w:ascii="Times New Roman" w:hAnsi="Times New Roman" w:eastAsia="Songti SC" w:cs="Times New Roman"/>
        </w:rPr>
        <w:t xml:space="preserve"> Retain raw extraction output, parsing failures, and separately identified inspected corrections. Check that each extracted claim corresponds to the response, preserves names, numbers, negation and conditions, and does not silently repair the answer. Missing or invalid extraction is </w:t>
      </w:r>
      <w:r>
        <w:rPr>
          <w:rFonts w:ascii="Times New Roman" w:hAnsi="Times New Roman" w:eastAsia="Songti SC" w:cs="Times New Roman"/>
          <w:i/>
        </w:rPr>
        <w:t>scorer_error</w:t>
      </w:r>
      <w:r>
        <w:rPr>
          <w:rFonts w:ascii="Times New Roman" w:hAnsi="Times New Roman" w:eastAsia="Songti SC" w:cs="Times New Roman"/>
        </w:rPr>
        <w:t>. Raw Week 2 extraction needed 99 inspected corrections across 100 responses; that dependence must remain visible in any comparison.</w:t>
      </w:r>
    </w:p>
    <w:p>
      <w:r>
        <w:rPr>
          <w:rFonts w:ascii="Times New Roman" w:hAnsi="Times New Roman" w:eastAsia="Songti SC" w:cs="Times New Roman"/>
          <w:b/>
        </w:rPr>
        <w:t>Language handling.</w:t>
      </w:r>
      <w:r>
        <w:rPr>
          <w:rFonts w:ascii="Times New Roman" w:hAnsi="Times New Roman" w:eastAsia="Songti SC" w:cs="Times New Roman"/>
        </w:rPr>
        <w:t xml:space="preserve"> The retained multilingual E5 base encoder uses </w:t>
      </w:r>
      <w:r>
        <w:rPr>
          <w:rFonts w:ascii="Times New Roman" w:hAnsi="Times New Roman" w:eastAsia="Songti SC" w:cs="Times New Roman"/>
          <w:i/>
        </w:rPr>
        <w:t xml:space="preserve">query: </w:t>
      </w:r>
      <w:r>
        <w:rPr>
          <w:rFonts w:ascii="Times New Roman" w:hAnsi="Times New Roman" w:eastAsia="Songti SC" w:cs="Times New Roman"/>
        </w:rPr>
        <w:t xml:space="preserve"> for claims and </w:t>
      </w:r>
      <w:r>
        <w:rPr>
          <w:rFonts w:ascii="Times New Roman" w:hAnsi="Times New Roman" w:eastAsia="Songti SC" w:cs="Times New Roman"/>
          <w:i/>
        </w:rPr>
        <w:t xml:space="preserve">passage: </w:t>
      </w:r>
      <w:r>
        <w:rPr>
          <w:rFonts w:ascii="Times New Roman" w:hAnsi="Times New Roman" w:eastAsia="Songti SC" w:cs="Times New Roman"/>
        </w:rPr>
        <w:t xml:space="preserve"> for evidence. Inspect claim correspondence separately in EN and ZH, including mixed Chinese sentences and English content words. Embedding proximity does not authorize translation or infer missing user identity. The evidence convention and explicit current-user metadata reduce referent ambiguity without resolving unsupported claims automatically.</w:t>
      </w:r>
    </w:p>
    <w:p>
      <w:r>
        <w:rPr>
          <w:rFonts w:ascii="Times New Roman" w:hAnsi="Times New Roman" w:eastAsia="Songti SC" w:cs="Times New Roman"/>
        </w:rPr>
        <w:br w:type="page"/>
      </w:r>
    </w:p>
    <w:p>
      <w:pPr>
        <w:pStyle w:val="Heading1"/>
      </w:pPr>
      <w:r>
        <w:rPr>
          <w:rFonts w:ascii="Times New Roman" w:hAnsi="Times New Roman" w:eastAsia="Songti SC" w:cs="Times New Roman"/>
        </w:rPr>
        <w:t>Semantic relevance and calibration</w:t>
      </w:r>
    </w:p>
    <w:p>
      <w:r>
        <w:rPr>
          <w:rFonts w:ascii="Times New Roman" w:hAnsi="Times New Roman" w:eastAsia="Songti SC" w:cs="Times New Roman"/>
          <w:b/>
        </w:rPr>
        <w:t>Semantic relevance definition.</w:t>
      </w:r>
      <w:r>
        <w:rPr>
          <w:rFonts w:ascii="Times New Roman" w:hAnsi="Times New Roman" w:eastAsia="Songti SC" w:cs="Times New Roman"/>
        </w:rPr>
        <w:t xml:space="preserve"> Compute raw cosine between query and response embeddings, using </w:t>
      </w:r>
      <w:r>
        <w:rPr>
          <w:rFonts w:ascii="Times New Roman" w:hAnsi="Times New Roman" w:eastAsia="Songti SC" w:cs="Times New Roman"/>
          <w:i/>
        </w:rPr>
        <w:t xml:space="preserve">query: </w:t>
      </w:r>
      <w:r>
        <w:rPr>
          <w:rFonts w:ascii="Times New Roman" w:hAnsi="Times New Roman" w:eastAsia="Songti SC" w:cs="Times New Roman"/>
        </w:rPr>
        <w:t xml:space="preserve"> for both. The defined range is [-1, 1]; it is not rescaled to a probability. An empty response has null value and </w:t>
      </w:r>
      <w:r>
        <w:rPr>
          <w:rFonts w:ascii="Times New Roman" w:hAnsi="Times New Roman" w:eastAsia="Songti SC" w:cs="Times New Roman"/>
          <w:i/>
        </w:rPr>
        <w:t>empty_response</w:t>
      </w:r>
      <w:r>
        <w:rPr>
          <w:rFonts w:ascii="Times New Roman" w:hAnsi="Times New Roman" w:eastAsia="Songti SC" w:cs="Times New Roman"/>
        </w:rPr>
        <w:t xml:space="preserve"> status. Invalid, zero-norm, non-finite, or incompatible vectors are errors.</w:t>
      </w:r>
    </w:p>
    <w:p>
      <w:r>
        <w:rPr>
          <w:rFonts w:ascii="Times New Roman" w:hAnsi="Times New Roman" w:eastAsia="Songti SC" w:cs="Times New Roman"/>
        </w:rPr>
        <w:t>Higher cosine means stronger association in the selected embedding space under fixed preprocessing. It does not guarantee greater factuality, empathy, usefulness, or task compliance. Repeating the question or giving a fluent wrong answer about the same subject can score highly. A necessary clarification can be less similar than an unsupported direct answer. No universal pass threshold is defined.</w:t>
      </w:r>
    </w:p>
    <w:p>
      <w:r>
        <w:rPr>
          <w:rFonts w:ascii="Times New Roman" w:hAnsi="Times New Roman" w:eastAsia="Songti SC" w:cs="Times New Roman"/>
        </w:rPr>
        <w:t>Use the same retained encoder, normalization, token limits, and prefixes for EN and ZH. Report language groups with their counts and content mix. The same encoder does not establish equal calibration or measurement invariance across languages. Reject over-limit inputs rather than silently truncating evidence.</w:t>
      </w:r>
    </w:p>
    <w:p>
      <w:pPr>
        <w:pStyle w:val="Heading1"/>
      </w:pPr>
      <w:r>
        <w:rPr>
          <w:rFonts w:ascii="Times New Roman" w:hAnsi="Times New Roman" w:eastAsia="Songti SC" w:cs="Times New Roman"/>
        </w:rPr>
        <w:t>Calibration decisions before generation</w:t>
      </w:r>
    </w:p>
    <w:p>
      <w:r>
        <w:rPr>
          <w:rFonts w:ascii="Times New Roman" w:hAnsi="Times New Roman" w:eastAsia="Songti SC" w:cs="Times New Roman"/>
        </w:rPr>
        <w:t>For a historical comparability run, retain the recorded Week 2 support threshold 0.80, encoder revision, segmenter, and scoring code. Describe this as a transferred threshold whose validity on new cases is unestablished. Report the new calibration probe results without selecting a different threshold from held-out predictions.</w:t>
      </w:r>
    </w:p>
    <w:p>
      <w:r>
        <w:rPr>
          <w:rFonts w:ascii="Times New Roman" w:hAnsi="Times New Roman" w:eastAsia="Songti SC" w:cs="Times New Roman"/>
        </w:rPr>
        <w:t xml:space="preserve">For a revised support experiment, declare a new configuration before held-out generation. Review positive and negative atomic support statements only from the new calibration families. Choose tau from [0.50, 0.60, 0.70, 0.80, 0.90] by maximum balanced accuracy </w:t>
      </w:r>
      <w:r>
        <w:rPr>
          <w:rFonts w:ascii="Times New Roman" w:hAnsi="Times New Roman" w:eastAsia="Songti SC" w:cs="Times New Roman"/>
          <w:i/>
        </w:rPr>
        <w:t>(TPR + TNR) / 2</w:t>
      </w:r>
      <w:r>
        <w:rPr>
          <w:rFonts w:ascii="Times New Roman" w:hAnsi="Times New Roman" w:eastAsia="Songti SC" w:cs="Times New Roman"/>
        </w:rPr>
        <w:t>, breaking ties toward the larger threshold. Both classes are required; with one class missing, stop calibration. Record every candidate, support counts, confusion matrices, and selection inputs.</w:t>
      </w:r>
    </w:p>
    <w:p>
      <w:r>
        <w:rPr>
          <w:rFonts w:ascii="Times New Roman" w:hAnsi="Times New Roman" w:eastAsia="Songti SC" w:cs="Times New Roman"/>
        </w:rPr>
        <w:t>The optional new fit uses annotated reference facts and fixed probe claims from new calibration families only. Current labels contain 17 positives and 2 negatives; both negatives are English probe claims. Chinese labels are all positive. Report these counts and label sources; no language-specific threshold is justified.</w:t>
      </w:r>
    </w:p>
    <w:p>
      <w:r>
        <w:rPr>
          <w:rFonts w:ascii="Times New Roman" w:hAnsi="Times New Roman" w:eastAsia="Songti SC" w:cs="Times New Roman"/>
        </w:rPr>
        <w:t>The old calibration used 27 positives and 3 negatives and achieved balanced accuracy 2/3. It supplies no reliable subgroup threshold. Do not invent a language threshold or a model acceptance target from these sparse observations. Report per-language diagnostics only where both label classes are represented.</w:t>
      </w:r>
    </w:p>
    <w:p>
      <w:r>
        <w:rPr>
          <w:rFonts w:ascii="Times New Roman" w:hAnsi="Times New Roman" w:eastAsia="Songti SC" w:cs="Times New Roman"/>
        </w:rPr>
        <w:t>Structured scores use exact declared matching rules rather than fitted numeric thresholds. Calibration checks reference truth, aliases, units, empty-set intent, action slots, event ordering, parser behavior, and hand-worked examples. Global rule changes use calibration fixtures and require a new version. A score of one is computational task success under the reference, not a deployment standard.</w:t>
      </w:r>
    </w:p>
    <w:p>
      <w:r>
        <w:rPr>
          <w:rFonts w:ascii="Times New Roman" w:hAnsi="Times New Roman" w:eastAsia="Songti SC" w:cs="Times New Roman"/>
        </w:rPr>
        <w:br w:type="page"/>
      </w:r>
    </w:p>
    <w:p>
      <w:pPr>
        <w:pStyle w:val="Heading1"/>
      </w:pPr>
      <w:r>
        <w:rPr>
          <w:rFonts w:ascii="Times New Roman" w:hAnsi="Times New Roman" w:eastAsia="Songti SC" w:cs="Times New Roman"/>
        </w:rPr>
        <w:t>Spatial accuracy and temporal coherence</w:t>
      </w:r>
    </w:p>
    <w:p>
      <w:r>
        <w:rPr>
          <w:rFonts w:ascii="Times New Roman" w:hAnsi="Times New Roman" w:eastAsia="Songti SC" w:cs="Times New Roman"/>
          <w:b/>
        </w:rPr>
        <w:t>Spatial accuracy.</w:t>
      </w:r>
      <w:r>
        <w:rPr>
          <w:rFonts w:ascii="Times New Roman" w:hAnsi="Times New Roman" w:eastAsia="Songti SC" w:cs="Times New Roman"/>
        </w:rPr>
        <w:t xml:space="preserve"> On the requested horizontal or vertical axis, merge aligned objects and derive strict-order reachability in the scene-fixed 2D frame. The reference answer must agree with the derived relation. A relevant inconsistent component gives </w:t>
      </w:r>
      <w:r>
        <w:rPr>
          <w:rFonts w:ascii="Times New Roman" w:hAnsi="Times New Roman" w:eastAsia="Songti SC" w:cs="Times New Roman"/>
          <w:i/>
        </w:rPr>
        <w:t>conflict</w:t>
      </w:r>
      <w:r>
        <w:rPr>
          <w:rFonts w:ascii="Times New Roman" w:hAnsi="Times New Roman" w:eastAsia="Songti SC" w:cs="Times New Roman"/>
        </w:rPr>
        <w:t xml:space="preserve">; a consistent disconnected pair gives </w:t>
      </w:r>
      <w:r>
        <w:rPr>
          <w:rFonts w:ascii="Times New Roman" w:hAnsi="Times New Roman" w:eastAsia="Songti SC" w:cs="Times New Roman"/>
          <w:i/>
        </w:rPr>
        <w:t>unknown</w:t>
      </w:r>
      <w:r>
        <w:rPr>
          <w:rFonts w:ascii="Times New Roman" w:hAnsi="Times New Roman" w:eastAsia="Songti SC" w:cs="Times New Roman"/>
        </w:rPr>
        <w:t xml:space="preserve">. An unrelated inconsistent component does not determine the requested answer. </w:t>
      </w:r>
      <w:r>
        <w:rPr>
          <w:rFonts w:ascii="Times New Roman" w:hAnsi="Times New Roman" w:eastAsia="Songti SC" w:cs="Times New Roman"/>
          <w:i/>
        </w:rPr>
        <w:t>spatial_accuracy = 1</w:t>
      </w:r>
      <w:r>
        <w:rPr>
          <w:rFonts w:ascii="Times New Roman" w:hAnsi="Times New Roman" w:eastAsia="Songti SC" w:cs="Times New Roman"/>
        </w:rPr>
        <w:t xml:space="preserve"> for the exact derived relation and 0 otherwise.</w:t>
      </w:r>
    </w:p>
    <w:p>
      <w:r>
        <w:rPr>
          <w:rFonts w:ascii="Times New Roman" w:hAnsi="Times New Roman" w:eastAsia="Songti SC" w:cs="Times New Roman"/>
        </w:rPr>
        <w:t xml:space="preserve">The range is {0, 1}. Replacing a wrong relation with the reference increases the score. The metric does not grade an explanation, distance, viewpoint changes, or physical perception. Always predicting </w:t>
      </w:r>
      <w:r>
        <w:rPr>
          <w:rFonts w:ascii="Times New Roman" w:hAnsi="Times New Roman" w:eastAsia="Songti SC" w:cs="Times New Roman"/>
          <w:i/>
        </w:rPr>
        <w:t>unknown</w:t>
      </w:r>
      <w:r>
        <w:rPr>
          <w:rFonts w:ascii="Times New Roman" w:hAnsi="Times New Roman" w:eastAsia="Songti SC" w:cs="Times New Roman"/>
        </w:rPr>
        <w:t xml:space="preserve"> can look good in a skewed collection; report resolved-relation and abstention/conflict counts. Calibrate reference graphs and coordinate conventions, not a learned cutoff.</w:t>
      </w:r>
    </w:p>
    <w:p>
      <w:r>
        <w:rPr>
          <w:rFonts w:ascii="Times New Roman" w:hAnsi="Times New Roman" w:eastAsia="Songti SC" w:cs="Times New Roman"/>
        </w:rPr>
        <w:t>For example, A left of B and B left of C entails A left of C. With no connecting path, a left/right guess is wrong even when plausible. Scene evidence must be reviewed against its symbolic graph; internal graph consistency alone cannot prove that the graph faithfully represents the text.</w:t>
      </w:r>
    </w:p>
    <w:p>
      <w:r>
        <w:rPr>
          <w:rFonts w:ascii="Times New Roman" w:hAnsi="Times New Roman" w:eastAsia="Songti SC" w:cs="Times New Roman"/>
          <w:b/>
        </w:rPr>
        <w:t>Temporal pair accuracy.</w:t>
      </w:r>
      <w:r>
        <w:rPr>
          <w:rFonts w:ascii="Times New Roman" w:hAnsi="Times New Roman" w:eastAsia="Songti SC" w:cs="Times New Roman"/>
        </w:rPr>
        <w:t xml:space="preserve"> For Q requested event pairs, a pair is correct only when its predicted label set equals the single derived answer. </w:t>
      </w:r>
      <w:r>
        <w:rPr>
          <w:rFonts w:ascii="Times New Roman" w:hAnsi="Times New Roman" w:eastAsia="Songti SC" w:cs="Times New Roman"/>
          <w:i/>
        </w:rPr>
        <w:t>A = correct_requested_pairs / Q</w:t>
      </w:r>
      <w:r>
        <w:rPr>
          <w:rFonts w:ascii="Times New Roman" w:hAnsi="Times New Roman" w:eastAsia="Songti SC" w:cs="Times New Roman"/>
        </w:rPr>
        <w:t>, with Q &gt; 0. Missing pairs receive no credit; identical duplicates collapse and contradictory labels are incorrect.</w:t>
      </w:r>
    </w:p>
    <w:p>
      <w:r>
        <w:rPr>
          <w:rFonts w:ascii="Times New Roman" w:hAnsi="Times New Roman" w:eastAsia="Songti SC" w:cs="Times New Roman"/>
          <w:b/>
        </w:rPr>
        <w:t>Temporal consistency.</w:t>
      </w:r>
      <w:r>
        <w:rPr>
          <w:rFonts w:ascii="Times New Roman" w:hAnsi="Times New Roman" w:eastAsia="Songti SC" w:cs="Times New Roman"/>
        </w:rPr>
        <w:t xml:space="preserve"> Let C = 1 if predictions contain no contradictory labels or strict-order cycle after simultaneous-event merging, and 0 otherwise. Only known pair IDs supply graph edges. </w:t>
      </w:r>
      <w:r>
        <w:rPr>
          <w:rFonts w:ascii="Times New Roman" w:hAnsi="Times New Roman" w:eastAsia="Songti SC" w:cs="Times New Roman"/>
          <w:i/>
        </w:rPr>
        <w:t>temporal_coherence = A * C</w:t>
      </w:r>
      <w:r>
        <w:rPr>
          <w:rFonts w:ascii="Times New Roman" w:hAnsi="Times New Roman" w:eastAsia="Songti SC" w:cs="Times New Roman"/>
        </w:rPr>
        <w:t>. Pair accuracy and coherence lie in [0, 1]; consistency lies in {0, 1}.</w:t>
      </w:r>
    </w:p>
    <w:p>
      <w:r>
        <w:rPr>
          <w:rFonts w:ascii="Times New Roman" w:hAnsi="Times New Roman" w:eastAsia="Songti SC" w:cs="Times New Roman"/>
        </w:rPr>
        <w:t>With fixed consistent predictions, correcting a pair raises or preserves A. Creating a cycle can set coherence to zero even while pair accuracy increases. Consistency alone can be one for an empty or entirely wrong acyclic answer. Extra pair IDs may leave A and C unchanged but prevent strict task success. For gold A before B, an empty relations list has A = 0, C = 1, coherence = 0.</w:t>
      </w:r>
    </w:p>
    <w:p>
      <w:r>
        <w:rPr>
          <w:rFonts w:ascii="Times New Roman" w:hAnsi="Times New Roman" w:eastAsia="Songti SC" w:cs="Times New Roman"/>
        </w:rPr>
        <w:t xml:space="preserve">Reference precedence, equality, conflict and unknown cases need hand checks. Canonical relation labels and event IDs are language-independent. English and Chinese scene wording, actor names, scope, and temporal expressions still require language review. Visible event descriptions must identify actors explicitly. See </w:t>
      </w:r>
      <w:hyperlink r:id="rId13">
        <w:r>
          <w:rPr>
            <w:rFonts w:ascii="Times New Roman" w:hAnsi="Times New Roman" w:eastAsia="Songti SC" w:cs="Times New Roman"/>
            <w:color w:val="17365D"/>
            <w:u w:val="single"/>
          </w:rPr>
          <w:t>the structured metric API</w:t>
        </w:r>
      </w:hyperlink>
      <w:r>
        <w:rPr>
          <w:rFonts w:ascii="Times New Roman" w:hAnsi="Times New Roman" w:eastAsia="Songti SC" w:cs="Times New Roman"/>
        </w:rPr>
        <w:t xml:space="preserve"> and </w:t>
      </w:r>
      <w:hyperlink r:id="rId14">
        <w:r>
          <w:rPr>
            <w:rFonts w:ascii="Times New Roman" w:hAnsi="Times New Roman" w:eastAsia="Songti SC" w:cs="Times New Roman"/>
            <w:color w:val="17365D"/>
            <w:u w:val="single"/>
          </w:rPr>
          <w:t>verified fixtures</w:t>
        </w:r>
      </w:hyperlink>
      <w:r>
        <w:rPr>
          <w:rFonts w:ascii="Times New Roman" w:hAnsi="Times New Roman" w:eastAsia="Songti SC" w:cs="Times New Roman"/>
        </w:rPr>
        <w:t>.</w:t>
      </w:r>
    </w:p>
    <w:p>
      <w:r>
        <w:rPr>
          <w:rFonts w:ascii="Times New Roman" w:hAnsi="Times New Roman" w:eastAsia="Songti SC" w:cs="Times New Roman"/>
        </w:rPr>
        <w:br w:type="page"/>
      </w:r>
    </w:p>
    <w:p>
      <w:pPr>
        <w:pStyle w:val="Heading1"/>
      </w:pPr>
      <w:r>
        <w:rPr>
          <w:rFonts w:ascii="Times New Roman" w:hAnsi="Times New Roman" w:eastAsia="Songti SC" w:cs="Times New Roman"/>
        </w:rPr>
        <w:t>Entity recall and classification</w:t>
      </w:r>
    </w:p>
    <w:p>
      <w:r>
        <w:rPr>
          <w:rFonts w:ascii="Times New Roman" w:hAnsi="Times New Roman" w:eastAsia="Songti SC" w:cs="Times New Roman"/>
        </w:rPr>
        <w:t xml:space="preserve">Let G be the number of annotated scene entities, R the number of recognized gold identities, K the number recognized with exactly the correct class, and P the number of distinct predicted identities. Define </w:t>
      </w:r>
      <w:r>
        <w:rPr>
          <w:rFonts w:ascii="Times New Roman" w:hAnsi="Times New Roman" w:eastAsia="Songti SC" w:cs="Times New Roman"/>
          <w:i/>
        </w:rPr>
        <w:t>entity_recall = R / G</w:t>
      </w:r>
      <w:r>
        <w:rPr>
          <w:rFonts w:ascii="Times New Roman" w:hAnsi="Times New Roman" w:eastAsia="Songti SC" w:cs="Times New Roman"/>
        </w:rPr>
        <w:t xml:space="preserve">, </w:t>
      </w:r>
      <w:r>
        <w:rPr>
          <w:rFonts w:ascii="Times New Roman" w:hAnsi="Times New Roman" w:eastAsia="Songti SC" w:cs="Times New Roman"/>
          <w:i/>
        </w:rPr>
        <w:t>classification_accuracy = K / G</w:t>
      </w:r>
      <w:r>
        <w:rPr>
          <w:rFonts w:ascii="Times New Roman" w:hAnsi="Times New Roman" w:eastAsia="Songti SC" w:cs="Times New Roman"/>
        </w:rPr>
        <w:t xml:space="preserve">, and diagnostic </w:t>
      </w:r>
      <w:r>
        <w:rPr>
          <w:rFonts w:ascii="Times New Roman" w:hAnsi="Times New Roman" w:eastAsia="Songti SC" w:cs="Times New Roman"/>
          <w:i/>
        </w:rPr>
        <w:t>entity_precision = R / P</w:t>
      </w:r>
      <w:r>
        <w:rPr>
          <w:rFonts w:ascii="Times New Roman" w:hAnsi="Times New Roman" w:eastAsia="Songti SC" w:cs="Times New Roman"/>
        </w:rPr>
        <w:t>. Omissions count as classification failures; accuracy is not conditional on recall.</w:t>
      </w:r>
    </w:p>
    <w:p>
      <w:r>
        <w:rPr>
          <w:rFonts w:ascii="Times New Roman" w:hAnsi="Times New Roman" w:eastAsia="Songti SC" w:cs="Times New Roman"/>
        </w:rPr>
        <w:t>The nine classes are person, robot, animal, furniture, mobility_aid, container, device, document, and other. Match mentions through explicit reference aliases after NFC, case folding, and whitespace normalization. Do not infer translation, stemming, punctuation equivalence, or an unseen name. A hidden entity ID is not automatically an accepted mention. Ambiguous aliases invalidate the reference.</w:t>
      </w:r>
    </w:p>
    <w:p>
      <w:r>
        <w:rPr>
          <w:rFonts w:ascii="Times New Roman" w:hAnsi="Times New Roman" w:eastAsia="Songti SC" w:cs="Times New Roman"/>
        </w:rPr>
        <w:t>Exact duplicate assertions and aliases for one identity do not multiply recall. Conflicting classes for one identity receive no classification credit. Unknown mentions are distinct extra identities, reduce precision, and prevent strict success. These declared counts are entity-level; they are not object detection accuracy, segmentation quality, or mention-level coreference evaluation.</w:t>
      </w:r>
    </w:p>
    <w:p>
      <w:r>
        <w:rPr>
          <w:rFonts w:ascii="Times New Roman" w:hAnsi="Times New Roman" w:eastAsia="Songti SC" w:cs="Times New Roman"/>
          <w:b/>
        </w:rPr>
        <w:t>Ranges and monotonicity.</w:t>
      </w:r>
      <w:r>
        <w:rPr>
          <w:rFonts w:ascii="Times New Roman" w:hAnsi="Times New Roman" w:eastAsia="Songti SC" w:cs="Times New Roman"/>
        </w:rPr>
        <w:t xml:space="preserve"> Defined ratios lie in [0, 1]. With fixed gold, adding a new correctly identified entity cannot reduce recall. Giving its sole correct class increases or preserves classification accuracy. Adding a conflicting class can lower accuracy. An invented entity leaves recall and classification unchanged while lowering precision. Removing false positives can improve precision without recovering an omitted entity. Read all three measures together.</w:t>
      </w:r>
    </w:p>
    <w:p>
      <w:r>
        <w:rPr>
          <w:rFonts w:ascii="Times New Roman" w:hAnsi="Times New Roman" w:eastAsia="Songti SC" w:cs="Times New Roman"/>
          <w:b/>
        </w:rPr>
        <w:t>Hand-worked failure.</w:t>
      </w:r>
      <w:r>
        <w:rPr>
          <w:rFonts w:ascii="Times New Roman" w:hAnsi="Times New Roman" w:eastAsia="Songti SC" w:cs="Times New Roman"/>
        </w:rPr>
        <w:t xml:space="preserve"> Gold contains Nora as person and a chair as furniture. Predicting both correctly plus an unsupported cat gives recall 1, classification accuracy 1, precision 2/3, and strict success 0. Predicting only Nora gives recall 1/2, classification accuracy 1/2, and precision 1. Neither recall nor precision alone captures both omissions and hallucinated objects.</w:t>
      </w:r>
    </w:p>
    <w:p>
      <w:r>
        <w:rPr>
          <w:rFonts w:ascii="Times New Roman" w:hAnsi="Times New Roman" w:eastAsia="Songti SC" w:cs="Times New Roman"/>
          <w:b/>
        </w:rPr>
        <w:t>Empty cases.</w:t>
      </w:r>
      <w:r>
        <w:rPr>
          <w:rFonts w:ascii="Times New Roman" w:hAnsi="Times New Roman" w:eastAsia="Songti SC" w:cs="Times New Roman"/>
        </w:rPr>
        <w:t xml:space="preserve"> An intentionally empty scene requires </w:t>
      </w:r>
      <w:r>
        <w:rPr>
          <w:rFonts w:ascii="Times New Roman" w:hAnsi="Times New Roman" w:eastAsia="Songti SC" w:cs="Times New Roman"/>
          <w:i/>
        </w:rPr>
        <w:t>entities=[]</w:t>
      </w:r>
      <w:r>
        <w:rPr>
          <w:rFonts w:ascii="Times New Roman" w:hAnsi="Times New Roman" w:eastAsia="Songti SC" w:cs="Times New Roman"/>
        </w:rPr>
        <w:t xml:space="preserve"> and </w:t>
      </w:r>
      <w:r>
        <w:rPr>
          <w:rFonts w:ascii="Times New Roman" w:hAnsi="Times New Roman" w:eastAsia="Songti SC" w:cs="Times New Roman"/>
          <w:i/>
        </w:rPr>
        <w:t>empty_inventory_expected=true</w:t>
      </w:r>
      <w:r>
        <w:rPr>
          <w:rFonts w:ascii="Times New Roman" w:hAnsi="Times New Roman" w:eastAsia="Songti SC" w:cs="Times New Roman"/>
        </w:rPr>
        <w:t>. Both sets empty yield null ratios and strict success 1. Empty prediction with nonempty gold yields recall, classification, and precision 0 under the documented empty-output convention. An empty reference without the explicit marker is quarantined.</w:t>
      </w:r>
    </w:p>
    <w:p>
      <w:r>
        <w:rPr>
          <w:rFonts w:ascii="Times New Roman" w:hAnsi="Times New Roman" w:eastAsia="Songti SC" w:cs="Times New Roman"/>
          <w:b/>
        </w:rPr>
        <w:t>Calibration and languages.</w:t>
      </w:r>
      <w:r>
        <w:rPr>
          <w:rFonts w:ascii="Times New Roman" w:hAnsi="Times New Roman" w:eastAsia="Songti SC" w:cs="Times New Roman"/>
        </w:rPr>
        <w:t xml:space="preserve"> No fitted threshold is used. Review class choices, entity boundaries, accepted EN/ZH names and mixed-language mentions, and alias collisions on calibration fixtures. Canonical labels remain English in either language. A valid unlisted synonym can receive zero credit; flag that approximation for separate annotation review rather than repairing a scored prediction.</w:t>
      </w:r>
    </w:p>
    <w:p>
      <w:r>
        <w:rPr>
          <w:rFonts w:ascii="Times New Roman" w:hAnsi="Times New Roman" w:eastAsia="Songti SC" w:cs="Times New Roman"/>
        </w:rPr>
        <w:br w:type="page"/>
      </w:r>
    </w:p>
    <w:p>
      <w:pPr>
        <w:pStyle w:val="Heading1"/>
      </w:pPr>
      <w:r>
        <w:rPr>
          <w:rFonts w:ascii="Times New Roman" w:hAnsi="Times New Roman" w:eastAsia="Songti SC" w:cs="Times New Roman"/>
        </w:rPr>
        <w:t>Goal coverage and goal precision</w:t>
      </w:r>
    </w:p>
    <w:p>
      <w:r>
        <w:rPr>
          <w:rFonts w:ascii="Times New Roman" w:hAnsi="Times New Roman" w:eastAsia="Songti SC" w:cs="Times New Roman"/>
        </w:rPr>
        <w:t xml:space="preserve">Represent gold goals as independent IDs with accepted action templates and any predecessor goals. The generic action catalog is </w:t>
      </w:r>
      <w:r>
        <w:rPr>
          <w:rFonts w:ascii="Times New Roman" w:hAnsi="Times New Roman" w:eastAsia="Songti SC" w:cs="Times New Roman"/>
          <w:i/>
        </w:rPr>
        <w:t>deliver_item(item, recipient)</w:t>
      </w:r>
      <w:r>
        <w:rPr>
          <w:rFonts w:ascii="Times New Roman" w:hAnsi="Times New Roman" w:eastAsia="Songti SC" w:cs="Times New Roman"/>
        </w:rPr>
        <w:t xml:space="preserve">, </w:t>
      </w:r>
      <w:r>
        <w:rPr>
          <w:rFonts w:ascii="Times New Roman" w:hAnsi="Times New Roman" w:eastAsia="Songti SC" w:cs="Times New Roman"/>
          <w:i/>
        </w:rPr>
        <w:t>notify(recipient, topic)</w:t>
      </w:r>
      <w:r>
        <w:rPr>
          <w:rFonts w:ascii="Times New Roman" w:hAnsi="Times New Roman" w:eastAsia="Songti SC" w:cs="Times New Roman"/>
        </w:rPr>
        <w:t xml:space="preserve">, </w:t>
      </w:r>
      <w:r>
        <w:rPr>
          <w:rFonts w:ascii="Times New Roman" w:hAnsi="Times New Roman" w:eastAsia="Songti SC" w:cs="Times New Roman"/>
          <w:i/>
        </w:rPr>
        <w:t>move_item(item, destination)</w:t>
      </w:r>
      <w:r>
        <w:rPr>
          <w:rFonts w:ascii="Times New Roman" w:hAnsi="Times New Roman" w:eastAsia="Songti SC" w:cs="Times New Roman"/>
        </w:rPr>
        <w:t xml:space="preserve">, </w:t>
      </w:r>
      <w:r>
        <w:rPr>
          <w:rFonts w:ascii="Times New Roman" w:hAnsi="Times New Roman" w:eastAsia="Songti SC" w:cs="Times New Roman"/>
          <w:i/>
        </w:rPr>
        <w:t>open_window(location)</w:t>
      </w:r>
      <w:r>
        <w:rPr>
          <w:rFonts w:ascii="Times New Roman" w:hAnsi="Times New Roman" w:eastAsia="Songti SC" w:cs="Times New Roman"/>
        </w:rPr>
        <w:t xml:space="preserve">, and </w:t>
      </w:r>
      <w:r>
        <w:rPr>
          <w:rFonts w:ascii="Times New Roman" w:hAnsi="Times New Roman" w:eastAsia="Songti SC" w:cs="Times New Roman"/>
          <w:i/>
        </w:rPr>
        <w:t>close_door(location)</w:t>
      </w:r>
      <w:r>
        <w:rPr>
          <w:rFonts w:ascii="Times New Roman" w:hAnsi="Times New Roman" w:eastAsia="Songti SC" w:cs="Times New Roman"/>
        </w:rPr>
        <w:t>. Arguments are strings. These symbols do not establish that a product can execute the actions.</w:t>
      </w:r>
    </w:p>
    <w:p>
      <w:r>
        <w:rPr>
          <w:rFonts w:ascii="Times New Roman" w:hAnsi="Times New Roman" w:eastAsia="Songti SC" w:cs="Times New Roman"/>
        </w:rPr>
        <w:t>Normalize argument values using NFC, case folding, whitespace, and explicit field-specific aliases. Action and slot names retain canonical spelling. Every required argument must match a template; additional qualifiers or slots do not match. Do not infer quantities, unit conversions, translations, or user identity from a hidden reference. Identity needed for a first-person request must be visible.</w:t>
      </w:r>
    </w:p>
    <w:p>
      <w:r>
        <w:rPr>
          <w:rFonts w:ascii="Times New Roman" w:hAnsi="Times New Roman" w:eastAsia="Songti SC" w:cs="Times New Roman"/>
        </w:rPr>
        <w:t>Deduplicate equivalent predicted tasks, preserving the first original position. Find a maximum one-to-one assignment of those tasks to gold goals, requiring each matched predecessor to occur earlier. The implemented exact dynamic program avoids a greedy choice that consumes another goal's only matching task.</w:t>
      </w:r>
    </w:p>
    <w:p>
      <w:r>
        <w:rPr>
          <w:rFonts w:ascii="Times New Roman" w:hAnsi="Times New Roman" w:eastAsia="Songti SC" w:cs="Times New Roman"/>
        </w:rPr>
        <w:t xml:space="preserve">Let M be matched goals, G gold goals, and P distinct predicted tasks. </w:t>
      </w:r>
      <w:r>
        <w:rPr>
          <w:rFonts w:ascii="Times New Roman" w:hAnsi="Times New Roman" w:eastAsia="Songti SC" w:cs="Times New Roman"/>
          <w:i/>
        </w:rPr>
        <w:t>goal_coverage = M / G</w:t>
      </w:r>
      <w:r>
        <w:rPr>
          <w:rFonts w:ascii="Times New Roman" w:hAnsi="Times New Roman" w:eastAsia="Songti SC" w:cs="Times New Roman"/>
        </w:rPr>
        <w:t xml:space="preserve">; </w:t>
      </w:r>
      <w:r>
        <w:rPr>
          <w:rFonts w:ascii="Times New Roman" w:hAnsi="Times New Roman" w:eastAsia="Songti SC" w:cs="Times New Roman"/>
          <w:i/>
        </w:rPr>
        <w:t>goal_precision = M / P</w:t>
      </w:r>
      <w:r>
        <w:rPr>
          <w:rFonts w:ascii="Times New Roman" w:hAnsi="Times New Roman" w:eastAsia="Songti SC" w:cs="Times New Roman"/>
        </w:rPr>
        <w:t>. Defined ratios lie in [0, 1]. With gold and prediction count fixed, a larger valid M raises both. Adding a matched task can raise coverage and precision; adding an unmatched task lowers precision. Reordering or duplicating a task is not guaranteed to preserve M, because dependencies and the first-occurrence rule matter.</w:t>
      </w:r>
    </w:p>
    <w:p>
      <w:r>
        <w:rPr>
          <w:rFonts w:ascii="Times New Roman" w:hAnsi="Times New Roman" w:eastAsia="Songti SC" w:cs="Times New Roman"/>
          <w:b/>
        </w:rPr>
        <w:t>Hand-worked failure.</w:t>
      </w:r>
      <w:r>
        <w:rPr>
          <w:rFonts w:ascii="Times New Roman" w:hAnsi="Times New Roman" w:eastAsia="Songti SC" w:cs="Times New Roman"/>
        </w:rPr>
        <w:t xml:space="preserve"> Gold requests water delivery and caregiver notification with no required order. Predicting water delivery and an unrequested window opening yields M = 1, G = 2, P = 2: both ratios are 1/2. Predicting both requested tasks plus window opening gives coverage 1, precision 2/3, and strict success 0. Reversing a required delivery-before-notification order leaves at most one match.</w:t>
      </w:r>
    </w:p>
    <w:p>
      <w:r>
        <w:rPr>
          <w:rFonts w:ascii="Times New Roman" w:hAnsi="Times New Roman" w:eastAsia="Songti SC" w:cs="Times New Roman"/>
          <w:b/>
        </w:rPr>
        <w:t>Limits.</w:t>
      </w:r>
      <w:r>
        <w:rPr>
          <w:rFonts w:ascii="Times New Roman" w:hAnsi="Times New Roman" w:eastAsia="Songti SC" w:cs="Times New Roman"/>
        </w:rPr>
        <w:t xml:space="preserve"> Matching measures conformity to a finite annotated plan. It does not recover preferences or rewards, establish safety, measure execution, or reward a useful alternative absent from the accepted templates. Goal granularity and overlapping templates affect denominators. Exact matching has exponential state growth in G; the current small goal sets do not establish scalability to long plans.</w:t>
      </w:r>
    </w:p>
    <w:p>
      <w:r>
        <w:rPr>
          <w:rFonts w:ascii="Times New Roman" w:hAnsi="Times New Roman" w:eastAsia="Songti SC" w:cs="Times New Roman"/>
        </w:rPr>
        <w:t>No-task gold requires an explicit empty marker. Both lists empty yield null ratios and strict success 1. Empty predictions against nonempty gold give both ratios 0. Calibrate dependencies, aliases, slot meaning, and independent goals through hand checks. EN/ZH matching uses declared aliases, not automatic bilingual equivalence; a door name must not become a window's location alias.</w:t>
      </w:r>
    </w:p>
    <w:p>
      <w:r>
        <w:rPr>
          <w:rFonts w:ascii="Times New Roman" w:hAnsi="Times New Roman" w:eastAsia="Songti SC" w:cs="Times New Roman"/>
        </w:rPr>
        <w:br w:type="page"/>
      </w:r>
    </w:p>
    <w:p>
      <w:pPr>
        <w:pStyle w:val="Heading1"/>
      </w:pPr>
      <w:r>
        <w:rPr>
          <w:rFonts w:ascii="Times New Roman" w:hAnsi="Times New Roman" w:eastAsia="Songti SC" w:cs="Times New Roman"/>
        </w:rPr>
        <w:t>Output validity and reporting</w:t>
      </w:r>
    </w:p>
    <w:p>
      <w:r>
        <w:rPr>
          <w:rFonts w:ascii="Times New Roman" w:hAnsi="Times New Roman" w:eastAsia="Songti SC" w:cs="Times New Roman"/>
        </w:rPr>
        <w:t>Structured predictions must be one JSON object with the task's exact keys and types. Surrounding whitespace and one JSON fence are accepted and logged. Prose wrappers, extra keys, duplicate JSON keys, bare arrays, and NaN/Infinity are rejected. Unknown relation or class strings are scorable wrong content, not automatically repaired. Preserve raw predictions and normalization logs.</w:t>
      </w:r>
    </w:p>
    <w:p>
      <w:r>
        <w:rPr>
          <w:rFonts w:ascii="Times New Roman" w:hAnsi="Times New Roman" w:eastAsia="Songti SC" w:cs="Times New Roman"/>
        </w:rPr>
        <w:t>Invalid references are quarantined with no model verdict. Missing, empty, malformed, and generation-failed structured outputs have null core metrics and strict task success 0. Scorer errors leave success unknown. Valid both-empty entity/goal cases can succeed while ratio metrics remain undefined. Keep parsing, generation, annotation, applicability, and computation statuses separate.</w:t>
      </w:r>
    </w:p>
    <w:p>
      <w:r>
        <w:rPr>
          <w:rFonts w:ascii="Times New Roman" w:hAnsi="Times New Roman" w:eastAsia="Songti SC" w:cs="Times New Roman"/>
          <w:b/>
        </w:rPr>
        <w:t>Strict task success.</w:t>
      </w:r>
      <w:r>
        <w:rPr>
          <w:rFonts w:ascii="Times New Roman" w:hAnsi="Times New Roman" w:eastAsia="Songti SC" w:cs="Times New Roman"/>
        </w:rPr>
        <w:t xml:space="preserve"> Spatial requires the exact relation. Temporal requires every requested pair correct, consistency one, and no extra IDs. Entities require all gold identities with exactly correct classes and no extras. Goals require all goals matched in allowed order and no unmatched tasks. This is a separate binary endpoint; it does not average the component ratios. RAG has no equivalent automated correctness verdict; response review remains separate.</w:t>
      </w:r>
    </w:p>
    <w:p>
      <w:r>
        <w:rPr>
          <w:rFonts w:ascii="Times New Roman" w:hAnsi="Times New Roman" w:eastAsia="Songti SC" w:cs="Times New Roman"/>
          <w:b/>
        </w:rPr>
        <w:t>Denominators.</w:t>
      </w:r>
      <w:r>
        <w:rPr>
          <w:rFonts w:ascii="Times New Roman" w:hAnsi="Times New Roman" w:eastAsia="Songti SC" w:cs="Times New Roman"/>
        </w:rPr>
        <w:t xml:space="preserve"> For structured cases, report total, eligible, quarantined, attempted, eligible attempted, and parsed counts. </w:t>
      </w:r>
      <w:r>
        <w:rPr>
          <w:rFonts w:ascii="Times New Roman" w:hAnsi="Times New Roman" w:eastAsia="Songti SC" w:cs="Times New Roman"/>
          <w:i/>
        </w:rPr>
        <w:t>parse_coverage = parsed / eligible</w:t>
      </w:r>
      <w:r>
        <w:rPr>
          <w:rFonts w:ascii="Times New Roman" w:hAnsi="Times New Roman" w:eastAsia="Songti SC" w:cs="Times New Roman"/>
        </w:rPr>
        <w:t>, including missing outputs in the eligible denominator. For success, report defined count, failures, unknowns, and mean over defined verdicts. Every core metric reports its own defined count, statuses, mean, and population standard deviation. Nulls are never silently replaced by zero or dropped without counts.</w:t>
      </w:r>
    </w:p>
    <w:p>
      <w:r>
        <w:rPr>
          <w:rFonts w:ascii="Times New Roman" w:hAnsi="Times New Roman" w:eastAsia="Songti SC" w:cs="Times New Roman"/>
        </w:rPr>
        <w:t>For example, one correct parsed spatial answer and one missing answer give conditional spatial mean 1, parse coverage 1/2, and strict success mean 1/2. This prevents an apparently perfect conditional mean from hiding missing output. Both coverage and success lie in [0, 1]; coverage alone measures format availability, and success alone remains limited by reference validity.</w:t>
      </w:r>
    </w:p>
    <w:p>
      <w:r>
        <w:rPr>
          <w:rFonts w:ascii="Times New Roman" w:hAnsi="Times New Roman" w:eastAsia="Songti SC" w:cs="Times New Roman"/>
        </w:rPr>
        <w:t>Report task type first, then domain, language, tier, cohort, and edge tags. Overlapping tags are descriptive slices, not independent samples. Keep calibration, new held-out, and legacy results separate. Report support counts with every language comparison; the temporal sample is only five cases. Do not combine unlike metric scales into a single overall quality score or imply statistical significance from this small public collection.</w:t>
      </w:r>
    </w:p>
    <w:p>
      <w:r>
        <w:rPr>
          <w:rFonts w:ascii="Times New Roman" w:hAnsi="Times New Roman" w:eastAsia="Songti SC" w:cs="Times New Roman"/>
        </w:rPr>
        <w:t>RAG uses the retained status conventions, with evidence metrics computable even when generation fails. Any unified Week 3 report needs a tested RAG adapter and must preserve both the old RAG statuses and structured coverage denominators.</w:t>
      </w:r>
    </w:p>
    <w:p>
      <w:r>
        <w:rPr>
          <w:rFonts w:ascii="Times New Roman" w:hAnsi="Times New Roman" w:eastAsia="Songti SC" w:cs="Times New Roman"/>
        </w:rPr>
        <w:br w:type="page"/>
      </w:r>
    </w:p>
    <w:p>
      <w:pPr>
        <w:pStyle w:val="Heading1"/>
      </w:pPr>
      <w:r>
        <w:rPr>
          <w:rFonts w:ascii="Times New Roman" w:hAnsi="Times New Roman" w:eastAsia="Songti SC" w:cs="Times New Roman"/>
        </w:rPr>
        <w:t>Experiment procedure and review gates</w:t>
      </w:r>
    </w:p>
    <w:p>
      <w:pPr>
        <w:pStyle w:val="ListNumber"/>
      </w:pPr>
      <w:r>
        <w:rPr>
          <w:rFonts w:ascii="Times New Roman" w:hAnsi="Times New Roman" w:eastAsia="Songti SC" w:cs="Times New Roman"/>
        </w:rPr>
        <w:t>Complete content/reference review and record native Chinese authorship and review for new Chinese examples. Reconcile Word edits into JSONL; verify evidence, visible identity, fact links, symbolic constraints, aliases, and goals.</w:t>
      </w:r>
    </w:p>
    <w:p>
      <w:pPr>
        <w:pStyle w:val="ListNumber"/>
      </w:pPr>
      <w:r>
        <w:rPr>
          <w:rFonts w:ascii="Times New Roman" w:hAnsi="Times New Roman" w:eastAsia="Songti SC" w:cs="Times New Roman"/>
        </w:rPr>
        <w:t>Refresh both dataset manifests and validation reports. Require release validation and all tests to pass. Require a release-profile manifest and a reviewed release schema version. Freeze dataset, schema, prompts, parser, matching policy, encoder, calibration decision, and code hashes before evaluation.</w:t>
      </w:r>
    </w:p>
    <w:p>
      <w:pPr>
        <w:pStyle w:val="ListNumber"/>
      </w:pPr>
      <w:r>
        <w:rPr>
          <w:rFonts w:ascii="Times New Roman" w:hAnsi="Times New Roman" w:eastAsia="Songti SC" w:cs="Times New Roman"/>
        </w:rPr>
        <w:t xml:space="preserve">Verify the implemented adapters and legacy/new RAG dispatch with the </w:t>
      </w:r>
      <w:hyperlink r:id="rId15">
        <w:r>
          <w:rPr>
            <w:rFonts w:ascii="Times New Roman" w:hAnsi="Times New Roman" w:eastAsia="Songti SC" w:cs="Times New Roman"/>
            <w:color w:val="17365D"/>
            <w:u w:val="single"/>
          </w:rPr>
          <w:t>pipeline checks</w:t>
        </w:r>
      </w:hyperlink>
      <w:r>
        <w:rPr>
          <w:rFonts w:ascii="Times New Roman" w:hAnsi="Times New Roman" w:eastAsia="Songti SC" w:cs="Times New Roman"/>
        </w:rPr>
        <w:t>. Confirm that hidden fields cannot enter prompts. Validate token budgets and preserve complete rendered inputs. The existing Week 2 adapter is not a substitute for the new structured and current-user interfaces.</w:t>
      </w:r>
    </w:p>
    <w:p>
      <w:pPr>
        <w:pStyle w:val="ListNumber"/>
      </w:pPr>
      <w:r>
        <w:rPr>
          <w:rFonts w:ascii="Times New Roman" w:hAnsi="Times New Roman" w:eastAsia="Songti SC" w:cs="Times New Roman"/>
        </w:rPr>
        <w:t>Register a separate Week 3 configuration and output directory. A proposed comparability baseline retains the pinned Qwen2.5 7B four-bit MLX model and multilingual E5 base configuration. Record actual revisions, packages, hardware, greedy settings, seed, token budgets, timeouts, and attempt policy.</w:t>
      </w:r>
    </w:p>
    <w:p>
      <w:pPr>
        <w:pStyle w:val="ListNumber"/>
      </w:pPr>
      <w:r>
        <w:rPr>
          <w:rFonts w:ascii="Times New Roman" w:hAnsi="Times New Roman" w:eastAsia="Songti SC" w:cs="Times New Roman"/>
        </w:rPr>
        <w:t>Check calibration fixtures and claim correspondence. Freeze any revised thresholds or prompt/extraction rules before new held-out generation. Preserve every raw attempt and distinguish generation time from extraction/scoring time.</w:t>
      </w:r>
    </w:p>
    <w:p>
      <w:pPr>
        <w:pStyle w:val="ListNumber"/>
      </w:pPr>
      <w:r>
        <w:rPr>
          <w:rFonts w:ascii="Times New Roman" w:hAnsi="Times New Roman" w:eastAsia="Songti SC" w:cs="Times New Roman"/>
        </w:rPr>
        <w:t>Generate once per declared case and score separately from generation. Inspect factual failures, empty or malformed outputs, unknown/conflict answers, aliases, duplicate/extra entities, slot errors, missing prerequisites, and task order. Keep any corrected annotations in a separately versioned review artifact.</w:t>
      </w:r>
    </w:p>
    <w:p>
      <w:pPr>
        <w:pStyle w:val="ListNumber"/>
      </w:pPr>
      <w:r>
        <w:rPr>
          <w:rFonts w:ascii="Times New Roman" w:hAnsi="Times New Roman" w:eastAsia="Songti SC" w:cs="Times New Roman"/>
        </w:rPr>
        <w:t>Execute the notebook with 5–10 demonstrations per extended capability, selected under a recorded rule after scoring is frozen. Show aggregate results and failures, including denominators. Write the 300–500-word reflection from the observed analysis, then audit the weekly review package.</w:t>
      </w:r>
    </w:p>
    <w:p>
      <w:r>
        <w:rPr>
          <w:rFonts w:ascii="Times New Roman" w:hAnsi="Times New Roman" w:eastAsia="Songti SC" w:cs="Times New Roman"/>
        </w:rPr>
        <w:t>Dataset truth fixes before the freeze do not tune predictions that do not yet exist. After held-out inspection, any prompt, alias-policy, extraction, threshold, or annotation change requires a new experiment version; disclose exposure and do not present the revised cases as untouched evidence. Deterministic symbolic scoring can replay exactly. A seed alone does not guarantee byte-identical local model generation across hardware and runtime versions.</w:t>
      </w:r>
    </w:p>
    <w:p>
      <w:pPr>
        <w:pStyle w:val="Heading1"/>
      </w:pPr>
      <w:r>
        <w:rPr>
          <w:rFonts w:ascii="Times New Roman" w:hAnsi="Times New Roman" w:eastAsia="Songti SC" w:cs="Times New Roman"/>
        </w:rPr>
        <w:t>Implementation and audit sources</w:t>
      </w:r>
    </w:p>
    <w:p>
      <w:pPr>
        <w:pStyle w:val="ListBullet"/>
      </w:pPr>
      <w:hyperlink r:id="rId16">
        <w:r>
          <w:rPr>
            <w:rFonts w:ascii="Times New Roman" w:hAnsi="Times New Roman" w:eastAsia="Songti SC" w:cs="Times New Roman"/>
            <w:color w:val="17365D"/>
            <w:u w:val="single"/>
          </w:rPr>
          <w:t>Dataset specification</w:t>
        </w:r>
      </w:hyperlink>
      <w:r>
        <w:rPr>
          <w:rFonts w:ascii="Times New Roman" w:hAnsi="Times New Roman" w:eastAsia="Songti SC" w:cs="Times New Roman"/>
        </w:rPr>
        <w:t xml:space="preserve">, </w:t>
      </w:r>
      <w:hyperlink r:id="rId17">
        <w:r>
          <w:rPr>
            <w:rFonts w:ascii="Times New Roman" w:hAnsi="Times New Roman" w:eastAsia="Songti SC" w:cs="Times New Roman"/>
            <w:color w:val="17365D"/>
            <w:u w:val="single"/>
          </w:rPr>
          <w:t>review workflow</w:t>
        </w:r>
      </w:hyperlink>
      <w:r>
        <w:rPr>
          <w:rFonts w:ascii="Times New Roman" w:hAnsi="Times New Roman" w:eastAsia="Songti SC" w:cs="Times New Roman"/>
        </w:rPr>
        <w:t xml:space="preserve">, and </w:t>
      </w:r>
      <w:hyperlink r:id="rId18">
        <w:r>
          <w:rPr>
            <w:rFonts w:ascii="Times New Roman" w:hAnsi="Times New Roman" w:eastAsia="Songti SC" w:cs="Times New Roman"/>
            <w:color w:val="17365D"/>
            <w:u w:val="single"/>
          </w:rPr>
          <w:t>construction configuration</w:t>
        </w:r>
      </w:hyperlink>
      <w:r>
        <w:rPr>
          <w:rFonts w:ascii="Times New Roman" w:hAnsi="Times New Roman" w:eastAsia="Songti SC" w:cs="Times New Roman"/>
        </w:rPr>
        <w:t>.</w:t>
      </w:r>
    </w:p>
    <w:p>
      <w:pPr>
        <w:pStyle w:val="ListBullet"/>
      </w:pPr>
      <w:hyperlink r:id="rId19">
        <w:r>
          <w:rPr>
            <w:rFonts w:ascii="Times New Roman" w:hAnsi="Times New Roman" w:eastAsia="Songti SC" w:cs="Times New Roman"/>
            <w:color w:val="17365D"/>
            <w:u w:val="single"/>
          </w:rPr>
          <w:t>RAG methodology</w:t>
        </w:r>
      </w:hyperlink>
      <w:r>
        <w:rPr>
          <w:rFonts w:ascii="Times New Roman" w:hAnsi="Times New Roman" w:eastAsia="Songti SC" w:cs="Times New Roman"/>
        </w:rPr>
        <w:t xml:space="preserve">, </w:t>
      </w:r>
      <w:hyperlink r:id="rId20">
        <w:r>
          <w:rPr>
            <w:rFonts w:ascii="Times New Roman" w:hAnsi="Times New Roman" w:eastAsia="Songti SC" w:cs="Times New Roman"/>
            <w:color w:val="17365D"/>
            <w:u w:val="single"/>
          </w:rPr>
          <w:t>recorded calibration</w:t>
        </w:r>
      </w:hyperlink>
      <w:r>
        <w:rPr>
          <w:rFonts w:ascii="Times New Roman" w:hAnsi="Times New Roman" w:eastAsia="Songti SC" w:cs="Times New Roman"/>
        </w:rPr>
        <w:t xml:space="preserve">, and </w:t>
      </w:r>
      <w:hyperlink r:id="rId21">
        <w:r>
          <w:rPr>
            <w:rFonts w:ascii="Times New Roman" w:hAnsi="Times New Roman" w:eastAsia="Songti SC" w:cs="Times New Roman"/>
            <w:color w:val="17365D"/>
            <w:u w:val="single"/>
          </w:rPr>
          <w:t>baseline configuration</w:t>
        </w:r>
      </w:hyperlink>
      <w:r>
        <w:rPr>
          <w:rFonts w:ascii="Times New Roman" w:hAnsi="Times New Roman" w:eastAsia="Songti SC" w:cs="Times New Roman"/>
        </w:rPr>
        <w:t>.</w:t>
      </w:r>
    </w:p>
    <w:p>
      <w:pPr>
        <w:pStyle w:val="ListBullet"/>
      </w:pPr>
      <w:hyperlink r:id="rId22">
        <w:r>
          <w:rPr>
            <w:rFonts w:ascii="Times New Roman" w:hAnsi="Times New Roman" w:eastAsia="Songti SC" w:cs="Times New Roman"/>
            <w:color w:val="17365D"/>
            <w:u w:val="single"/>
          </w:rPr>
          <w:t>Structured implementation</w:t>
        </w:r>
      </w:hyperlink>
      <w:r>
        <w:rPr>
          <w:rFonts w:ascii="Times New Roman" w:hAnsi="Times New Roman" w:eastAsia="Songti SC" w:cs="Times New Roman"/>
        </w:rPr>
        <w:t xml:space="preserve">, </w:t>
      </w:r>
      <w:hyperlink r:id="rId14">
        <w:r>
          <w:rPr>
            <w:rFonts w:ascii="Times New Roman" w:hAnsi="Times New Roman" w:eastAsia="Songti SC" w:cs="Times New Roman"/>
            <w:color w:val="17365D"/>
            <w:u w:val="single"/>
          </w:rPr>
          <w:t>metric tests</w:t>
        </w:r>
      </w:hyperlink>
      <w:r>
        <w:rPr>
          <w:rFonts w:ascii="Times New Roman" w:hAnsi="Times New Roman" w:eastAsia="Songti SC" w:cs="Times New Roman"/>
        </w:rPr>
        <w:t xml:space="preserve">, and </w:t>
      </w:r>
      <w:hyperlink r:id="rId23">
        <w:r>
          <w:rPr>
            <w:rFonts w:ascii="Times New Roman" w:hAnsi="Times New Roman" w:eastAsia="Songti SC" w:cs="Times New Roman"/>
            <w:color w:val="17365D"/>
            <w:u w:val="single"/>
          </w:rPr>
          <w:t>dataset tests</w:t>
        </w:r>
      </w:hyperlink>
      <w:r>
        <w:rPr>
          <w:rFonts w:ascii="Times New Roman" w:hAnsi="Times New Roman" w:eastAsia="Songti SC" w:cs="Times New Roman"/>
        </w:rPr>
        <w:t>.</w:t>
      </w:r>
    </w:p>
    <w:p>
      <w:pPr>
        <w:pStyle w:val="ListBullet"/>
      </w:pPr>
      <w:hyperlink r:id="rId24">
        <w:r>
          <w:rPr>
            <w:rFonts w:ascii="Times New Roman" w:hAnsi="Times New Roman" w:eastAsia="Songti SC" w:cs="Times New Roman"/>
            <w:color w:val="17365D"/>
            <w:u w:val="single"/>
          </w:rPr>
          <w:t>Validation evidence</w:t>
        </w:r>
      </w:hyperlink>
      <w:r>
        <w:rPr>
          <w:rFonts w:ascii="Times New Roman" w:hAnsi="Times New Roman" w:eastAsia="Songti SC" w:cs="Times New Roman"/>
        </w:rPr>
        <w:t>. Validation confirms declared computational checks; it does not certify semantic truth or actual authorship.</w:t>
      </w:r>
    </w:p>
    <w:sectPr w:rsidR="00FC693F" w:rsidRPr="0006063C" w:rsidSect="00034616">
      <w:footerReference w:type="default" r:id="rId9"/>
      <w:headerReference w:type="default" r:id="rId25"/>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cs="Times New Roman"/>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Songti SC"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Songti SC"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Songti SC"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Songti SC"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ongti SC"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Times New Roman" w:hAnsi="Times New Roman" w:eastAsia="Songti SC" w:cs="Times New Roman"/>
      <w:b w:val="0"/>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HeaderChar">
    <w:name w:val="Header Char"/>
    <w:basedOn w:val="DefaultParagraphFont"/>
    <w:link w:val="Header"/>
    <w:uiPriority w:val="99"/>
    <w:rsid w:val="00E618BF"/>
    <w:rPr>
      <w:rFonts w:ascii="Times New Roman" w:hAnsi="Times New Roman" w:eastAsia="Songti SC"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s="Times New Roman"/>
    </w:rPr>
  </w:style>
  <w:style w:type="character" w:customStyle="1" w:styleId="FooterChar">
    <w:name w:val="Footer Char"/>
    <w:basedOn w:val="DefaultParagraphFont"/>
    <w:link w:val="Footer"/>
    <w:uiPriority w:val="99"/>
    <w:rsid w:val="00E618BF"/>
    <w:rPr>
      <w:rFonts w:ascii="Times New Roman" w:hAnsi="Times New Roman" w:eastAsia="Songti SC" w:cs="Times New Roman"/>
    </w:rPr>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Songti SC" w:cs="Times New Roman"/>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Songti SC"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imes New Roman" w:hAnsi="Times New Roman" w:eastAsia="Songti SC" w:cs="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Songti SC"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Songti SC"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Songti SC"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Songti SC"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Songti SC"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Songti SC"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Songti SC" w:cs="Times New Roman"/>
    </w:rPr>
  </w:style>
  <w:style w:type="table" w:default="1" w:styleId="TableNormal">
    <w:name w:val="Normal Table"/>
    <w:uiPriority w:val="99"/>
    <w:semiHidden/>
    <w:unhideWhenUsed/>
    <w:rPr>
      <w:rFonts w:ascii="Times New Roman" w:hAnsi="Times New Roman" w:eastAsia="Songti SC"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Songti SC" w:cs="Times New Roman"/>
    </w:rPr>
  </w:style>
  <w:style w:type="paragraph" w:styleId="NoSpacing">
    <w:name w:val="No Spacing"/>
    <w:uiPriority w:val="1"/>
    <w:qFormat/>
    <w:rsid w:val="00FC693F"/>
    <w:pPr>
      <w:spacing w:after="0" w:line="240" w:lineRule="auto"/>
    </w:pPr>
    <w:rPr>
      <w:rFonts w:ascii="Times New Roman" w:hAnsi="Times New Roman" w:eastAsia="Songti SC" w:cs="Times New Roman"/>
    </w:rPr>
  </w:style>
  <w:style w:type="character" w:customStyle="1" w:styleId="Heading1Char">
    <w:name w:val="Heading 1 Char"/>
    <w:basedOn w:val="DefaultParagraphFont"/>
    <w:link w:val="Heading1"/>
    <w:uiPriority w:val="9"/>
    <w:rsid w:val="00FC693F"/>
    <w:rPr>
      <w:rFonts w:ascii="Times New Roman" w:hAnsi="Times New Roman" w:eastAsia="Songti SC"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Songti SC"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Songti SC" w:cs="Times New Roman"/>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eastAsia="Songti SC" w:cs="Times New Roman"/>
      <w:b/>
      <w:color w:val="000000"/>
      <w:spacing w:val="5"/>
      <w:kern w:val="28"/>
      <w:sz w:val="48"/>
      <w:szCs w:val="48"/>
    </w:rPr>
  </w:style>
  <w:style w:type="character" w:customStyle="1" w:styleId="TitleChar">
    <w:name w:val="Title Char"/>
    <w:basedOn w:val="DefaultParagraphFont"/>
    <w:link w:val="Title"/>
    <w:uiPriority w:val="10"/>
    <w:rsid w:val="00FC693F"/>
    <w:rPr>
      <w:rFonts w:ascii="Times New Roman" w:hAnsi="Times New Roman" w:eastAsia="Songti SC"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imes New Roman" w:hAnsi="Times New Roman" w:eastAsia="Songti SC" w:cs="Times New Roman"/>
      <w:b w:val="0"/>
      <w:i/>
      <w:iCs/>
      <w:color w:val="000000"/>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eastAsia="Songti SC"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ongti SC"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Songti SC" w:cs="Times New Roman"/>
    </w:rPr>
  </w:style>
  <w:style w:type="character" w:customStyle="1" w:styleId="BodyTextChar">
    <w:name w:val="Body Text Char"/>
    <w:basedOn w:val="DefaultParagraphFont"/>
    <w:link w:val="BodyText"/>
    <w:uiPriority w:val="99"/>
    <w:rsid w:val="00AA1D8D"/>
    <w:rPr>
      <w:rFonts w:ascii="Times New Roman" w:hAnsi="Times New Roman" w:eastAsia="Songti SC"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ongti SC" w:cs="Times New Roman"/>
    </w:rPr>
  </w:style>
  <w:style w:type="character" w:customStyle="1" w:styleId="BodyText2Char">
    <w:name w:val="Body Text 2 Char"/>
    <w:basedOn w:val="DefaultParagraphFont"/>
    <w:link w:val="BodyText2"/>
    <w:uiPriority w:val="99"/>
    <w:rsid w:val="00AA1D8D"/>
    <w:rPr>
      <w:rFonts w:ascii="Times New Roman" w:hAnsi="Times New Roman" w:eastAsia="Songti SC"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Songti SC"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Songti SC"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ongti SC"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Songti SC"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Songti SC" w:cs="Times New Roman"/>
    </w:rPr>
  </w:style>
  <w:style w:type="paragraph" w:styleId="ListBullet">
    <w:name w:val="List Bullet"/>
    <w:basedOn w:val="Normal"/>
    <w:uiPriority w:val="99"/>
    <w:unhideWhenUsed/>
    <w:rsid w:val="00326F90"/>
    <w:pPr>
      <w:numPr>
        <w:numId w:val="1"/>
      </w:numPr>
      <w:spacing w:after="80" w:line="264" w:lineRule="auto"/>
      <w:contextualSpacing/>
    </w:pPr>
    <w:rPr>
      <w:rFonts w:ascii="Times New Roman" w:hAnsi="Times New Roman" w:eastAsia="Songti SC" w:cs="Times New Roman"/>
      <w:b w:val="0"/>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Songti SC"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Songti SC" w:cs="Times New Roman"/>
    </w:rPr>
  </w:style>
  <w:style w:type="paragraph" w:styleId="ListNumber">
    <w:name w:val="List Number"/>
    <w:basedOn w:val="Normal"/>
    <w:uiPriority w:val="99"/>
    <w:unhideWhenUsed/>
    <w:rsid w:val="00326F90"/>
    <w:pPr>
      <w:numPr>
        <w:numId w:val="5"/>
      </w:numPr>
      <w:spacing w:after="80" w:line="264" w:lineRule="auto"/>
      <w:contextualSpacing/>
    </w:pPr>
    <w:rPr>
      <w:rFonts w:ascii="Times New Roman" w:hAnsi="Times New Roman" w:eastAsia="Songti SC" w:cs="Times New Roman"/>
      <w:b w:val="0"/>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Songti SC"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Songti SC"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ongti SC"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ongti SC"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ongti SC"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ongti SC"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Songti SC" w:cs="Times New Roman"/>
      <w:sz w:val="20"/>
      <w:szCs w:val="20"/>
    </w:rPr>
  </w:style>
  <w:style w:type="paragraph" w:styleId="Quote">
    <w:name w:val="Quote"/>
    <w:basedOn w:val="Normal"/>
    <w:next w:val="Normal"/>
    <w:link w:val="QuoteChar"/>
    <w:uiPriority w:val="29"/>
    <w:qFormat/>
    <w:rsid w:val="00FC693F"/>
    <w:rPr>
      <w:rFonts w:ascii="Times New Roman" w:hAnsi="Times New Roman" w:eastAsia="Songti SC"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Songti SC"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Songti SC"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Songti SC"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Songti SC"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Songti SC"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Songti SC"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Songti SC"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00"/>
    </w:pPr>
    <w:rPr>
      <w:rFonts w:ascii="Times New Roman" w:hAnsi="Times New Roman" w:eastAsia="Songti SC" w:cs="Times New Roman"/>
      <w:b w:val="0"/>
      <w:bCs/>
      <w:i w:val="0"/>
      <w:color w:val="000000"/>
      <w:sz w:val="22"/>
      <w:szCs w:val="22"/>
    </w:rPr>
  </w:style>
  <w:style w:type="character" w:styleId="Strong">
    <w:name w:val="Strong"/>
    <w:basedOn w:val="DefaultParagraphFont"/>
    <w:uiPriority w:val="22"/>
    <w:qFormat/>
    <w:rsid w:val="00FC693F"/>
    <w:rPr>
      <w:rFonts w:ascii="Times New Roman" w:hAnsi="Times New Roman" w:eastAsia="Songti SC" w:cs="Times New Roman"/>
      <w:b/>
      <w:bCs/>
    </w:rPr>
  </w:style>
  <w:style w:type="character" w:styleId="Emphasis">
    <w:name w:val="Emphasis"/>
    <w:basedOn w:val="DefaultParagraphFont"/>
    <w:uiPriority w:val="20"/>
    <w:qFormat/>
    <w:rsid w:val="00FC693F"/>
    <w:rPr>
      <w:rFonts w:ascii="Times New Roman" w:hAnsi="Times New Roman" w:eastAsia="Songti SC"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Songti SC"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Songti SC"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Songti SC"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Songti SC"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Songti SC"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Songti SC"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Songti SC"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ongti SC" w:cs="Times New Roman"/>
    </w:rPr>
  </w:style>
  <w:style w:type="table" w:styleId="TableGrid">
    <w:name w:val="Table Grid"/>
    <w:basedOn w:val="TableNormal"/>
    <w:uiPriority w:val="59"/>
    <w:rsid w:val="00FC693F"/>
    <w:pPr>
      <w:spacing w:after="0" w:line="240" w:lineRule="auto"/>
    </w:pPr>
    <w:rPr>
      <w:rFonts w:ascii="Times New Roman" w:hAnsi="Times New Roman" w:eastAsia="Songti SC"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Songti SC"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Songti SC"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Songti SC"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Songti SC"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Songti SC"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Songti SC"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Songti SC"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Songti SC"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Songti SC"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Songti SC" w:cs="Times New Roman"/>
        <w:b/>
        <w:bCs/>
      </w:rPr>
    </w:tblStylePr>
    <w:tblStylePr w:type="lastCol">
      <w:rPr>
        <w:rFonts w:ascii="Times New Roman" w:hAnsi="Times New Roman" w:eastAsia="Songti SC"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Songti SC"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Songti SC"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Songti SC"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Songti SC"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deliverables/week-03/README.md" TargetMode="External"/><Relationship Id="rId11" Type="http://schemas.openxmlformats.org/officeDocument/2006/relationships/hyperlink" Target="../../src/evaluator.py" TargetMode="External"/><Relationship Id="rId12" Type="http://schemas.openxmlformats.org/officeDocument/2006/relationships/hyperlink" Target="../week-02/W02_RAG_Evaluation_Results.md" TargetMode="External"/><Relationship Id="rId13" Type="http://schemas.openxmlformats.org/officeDocument/2006/relationships/hyperlink" Target="extended_metrics.md" TargetMode="External"/><Relationship Id="rId14" Type="http://schemas.openxmlformats.org/officeDocument/2006/relationships/hyperlink" Target="../../tests/test_extended.py" TargetMode="External"/><Relationship Id="rId15" Type="http://schemas.openxmlformats.org/officeDocument/2006/relationships/hyperlink" Target="experiment_pipeline.md" TargetMode="External"/><Relationship Id="rId16" Type="http://schemas.openxmlformats.org/officeDocument/2006/relationships/hyperlink" Target="dataset_v2_specification.md" TargetMode="External"/><Relationship Id="rId17" Type="http://schemas.openxmlformats.org/officeDocument/2006/relationships/hyperlink" Target="dataset_v2_workflow.md" TargetMode="External"/><Relationship Id="rId18" Type="http://schemas.openxmlformats.org/officeDocument/2006/relationships/hyperlink" Target="../../configs/dataset-v2.json" TargetMode="External"/><Relationship Id="rId19" Type="http://schemas.openxmlformats.org/officeDocument/2006/relationships/hyperlink" Target="../week-02/metric_methodology.md" TargetMode="External"/><Relationship Id="rId20" Type="http://schemas.openxmlformats.org/officeDocument/2006/relationships/hyperlink" Target="../../results/week-02/baseline/calibration.json" TargetMode="External"/><Relationship Id="rId21" Type="http://schemas.openxmlformats.org/officeDocument/2006/relationships/hyperlink" Target="../../configs/week-02.json" TargetMode="External"/><Relationship Id="rId22" Type="http://schemas.openxmlformats.org/officeDocument/2006/relationships/hyperlink" Target="../../src/extended_evaluator.py" TargetMode="External"/><Relationship Id="rId23" Type="http://schemas.openxmlformats.org/officeDocument/2006/relationships/hyperlink" Target="../../tests/test_dataset_v2_collection.py" TargetMode="External"/><Relationship Id="rId24" Type="http://schemas.openxmlformats.org/officeDocument/2006/relationships/hyperlink" Target="../../deliverables/week-03/README.md#validation-evidence" TargetMode="External"/><Relationship Id="rId2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ongti SC"/>
        <a:cs typeface="Times New Roman"/>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ongti SC"/>
        <a:cs typeface="Times New Roman"/>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Evaluation Protocol</dc:title>
  <dc:subject>Metric definitions and reproducible evaluation procedure</dc:subject>
  <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