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pBdr>
          <w:bottom w:val="single" w:color="285A44" w:sz="16" w:space="16"/>
        </w:pBdr>
        <w:spacing w:after="80" w:before="0"/>
        <w:jc w:val="center"/>
      </w:pPr>
      <w:r>
        <w:rPr>
          <w:rFonts w:ascii="Arial" w:cs="Arial" w:eastAsia="Arial" w:hAnsi="Arial"/>
          <w:b/>
          <w:bCs/>
          <w:color w:val="18242F"/>
          <w:sz w:val="80"/>
          <w:szCs w:val="80"/>
        </w:rPr>
        <w:t xml:space="preserve">DEEDFLOW</w:t>
      </w:r>
    </w:p>
    <w:p>
      <w:pPr>
        <w:spacing w:after="100" w:before="0"/>
      </w:pPr>
      <w:r>
        <w:t xml:space="preserve"/>
      </w:r>
    </w:p>
    <w:p>
      <w:pPr>
        <w:spacing w:after="80" w:before="0"/>
        <w:jc w:val="center"/>
      </w:pPr>
      <w:r>
        <w:rPr>
          <w:rFonts w:ascii="Arial" w:cs="Arial" w:eastAsia="Arial" w:hAnsi="Arial"/>
          <w:b/>
          <w:bCs/>
          <w:caps/>
          <w:color w:val="285A44"/>
          <w:sz w:val="36"/>
          <w:szCs w:val="36"/>
        </w:rPr>
        <w:t xml:space="preserve">GLOBAL REGULATORY LANDSCAPE</w:t>
      </w:r>
    </w:p>
    <w:p>
      <w:pPr>
        <w:spacing w:after="600" w:before="0"/>
        <w:jc w:val="center"/>
      </w:pPr>
      <w:r>
        <w:rPr>
          <w:rFonts w:ascii="Arial" w:cs="Arial" w:eastAsia="Arial" w:hAnsi="Arial"/>
          <w:i/>
          <w:iCs/>
          <w:color w:val="8B6E52"/>
          <w:sz w:val="24"/>
          <w:szCs w:val="24"/>
        </w:rPr>
        <w:t xml:space="preserve">Homeowner Equity Tokenization — Occupied &amp; Investment Property</w:t>
      </w:r>
    </w:p>
    <w:p>
      <w:pPr>
        <w:spacing w:after="200" w:before="0"/>
        <w:jc w:val="center"/>
      </w:pPr>
      <w:r>
        <w:rPr>
          <w:rFonts w:ascii="Arial" w:cs="Arial" w:eastAsia="Arial" w:hAnsi="Arial"/>
          <w:color w:val="8A98A5"/>
          <w:sz w:val="22"/>
          <w:szCs w:val="22"/>
        </w:rPr>
        <w:t xml:space="preserve">Wyoming · United States · Global Expansion Markets</w:t>
      </w:r>
    </w:p>
    <w:p>
      <w:pPr>
        <w:spacing w:after="600" w:before="0"/>
      </w:pPr>
      <w:r>
        <w:t xml:space="preserve"/>
      </w:r>
    </w:p>
    <w:p>
      <w:pPr>
        <w:spacing w:after="80" w:before="0"/>
        <w:jc w:val="center"/>
      </w:pPr>
      <w:r>
        <w:rPr>
          <w:rFonts w:ascii="Arial" w:cs="Arial" w:eastAsia="Arial" w:hAnsi="Arial"/>
          <w:caps/>
          <w:color w:val="8A98A5"/>
          <w:sz w:val="18"/>
          <w:szCs w:val="18"/>
        </w:rPr>
        <w:t xml:space="preserve">CONFIDENTIAL — FOR INTERNAL USE ONLY</w:t>
      </w:r>
    </w:p>
    <w:p>
      <w:pPr>
        <w:spacing w:after="0" w:before="0"/>
        <w:jc w:val="center"/>
      </w:pPr>
      <w:r>
        <w:rPr>
          <w:rFonts w:ascii="Arial" w:cs="Arial" w:eastAsia="Arial" w:hAnsi="Arial"/>
          <w:color w:val="8A98A5"/>
          <w:sz w:val="20"/>
          <w:szCs w:val="20"/>
        </w:rPr>
        <w:t xml:space="preserve">April 2026</w:t>
      </w:r>
    </w:p>
    <w:p>
      <w:pPr>
        <w:sectPr>
          <w:pgSz w:w="12240" w:h="15840" w:orient="portrait"/>
          <w:pgMar w:top="1440" w:right="1440" w:bottom="1440" w:left="1440" w:header="708" w:footer="708" w:gutter="0"/>
          <w:pgNumType/>
          <w:docGrid w:linePitch="360"/>
        </w:sectPr>
      </w:pPr>
    </w:p>
    <w:p>
      <w:pPr>
        <w:pStyle w:val="Heading1"/>
        <w:pBdr>
          <w:bottom w:val="single" w:color="285A44" w:sz="10" w:space="8"/>
        </w:pBdr>
        <w:spacing w:after="120" w:before="400"/>
      </w:pPr>
      <w:r>
        <w:rPr>
          <w:rFonts w:ascii="Arial" w:cs="Arial" w:eastAsia="Arial" w:hAnsi="Arial"/>
          <w:b/>
          <w:bCs/>
          <w:color w:val="18242F"/>
          <w:sz w:val="34"/>
          <w:szCs w:val="34"/>
        </w:rPr>
        <w:t xml:space="preserve">Executive Summary</w:t>
      </w:r>
    </w:p>
    <w:p>
      <w:pPr>
        <w:spacing w:after="100" w:before="60"/>
      </w:pPr>
      <w:r>
        <w:rPr>
          <w:rFonts w:ascii="Arial" w:cs="Arial" w:eastAsia="Arial" w:hAnsi="Arial"/>
          <w:color w:val="1A1A1A"/>
          <w:sz w:val="22"/>
          <w:szCs w:val="22"/>
        </w:rPr>
        <w:t xml:space="preserve">This document provides a comprehensive regulatory analysis for DeedFlow's homeowner equity tokenization platform across three tiers: Wyoming (launch jurisdiction), the broader United States (national expansion), and the highest-priority global markets for both occupied primary residences and investment properties.</w:t>
      </w:r>
    </w:p>
    <w:p>
      <w:pPr>
        <w:spacing w:after="100" w:before="0"/>
      </w:pPr>
      <w:r>
        <w:t xml:space="preserve"/>
      </w:r>
    </w:p>
    <w:tbl>
      <w:tblPr>
        <w:tblW w:type="dxa" w:w="9360"/>
        <w:tblBorders>
          <w:top w:val="single" w:color="285A44" w:sz="1"/>
          <w:left w:val="single" w:color="285A44" w:sz="20"/>
          <w:bottom w:val="single" w:color="285A44" w:sz="1"/>
          <w:right w:val="single" w:color="285A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5F1" w:val="clear"/>
            <w:tcMar>
              <w:top w:type="dxa" w:w="160"/>
              <w:left w:type="dxa" w:w="220"/>
              <w:bottom w:type="dxa" w:w="160"/>
              <w:right w:type="dxa" w:w="220"/>
            </w:tcMar>
          </w:tcPr>
          <w:p>
            <w:pPr>
              <w:spacing w:after="60" w:before="0"/>
            </w:pPr>
            <w:r>
              <w:rPr>
                <w:rFonts w:ascii="Arial" w:cs="Arial" w:eastAsia="Arial" w:hAnsi="Arial"/>
                <w:b/>
                <w:bCs/>
                <w:color w:val="285A44"/>
                <w:sz w:val="20"/>
                <w:szCs w:val="20"/>
              </w:rPr>
              <w:t xml:space="preserve">Bottom Line Up Front</w:t>
            </w:r>
          </w:p>
          <w:p>
            <w:pPr>
              <w:spacing w:after="0" w:before="0"/>
            </w:pPr>
            <w:r>
              <w:rPr>
                <w:rFonts w:ascii="Arial" w:cs="Arial" w:eastAsia="Arial" w:hAnsi="Arial"/>
                <w:color w:val="1A1A1A"/>
                <w:sz w:val="21"/>
                <w:szCs w:val="21"/>
              </w:rPr>
              <w:t xml:space="preserve">Wyoming is the single best launch jurisdiction in the world for DeedFlow. No other U.S. state — and arguably no other jurisdiction globally — has more deliberately built the legal infrastructure for tokenized real estate. The regulatory window at the federal level is the most favorable it has ever been. Launch now in Wyoming under Reg D 506(c), build the track record, and expand methodically.</w:t>
            </w:r>
          </w:p>
        </w:tc>
      </w:tr>
    </w:tbl>
    <w:p>
      <w:pPr>
        <w:spacing w:after="100" w:before="0"/>
      </w:pPr>
      <w:r>
        <w:t xml:space="preserve"/>
      </w:r>
    </w:p>
    <w:p>
      <w:pPr>
        <w:spacing w:after="100" w:before="60"/>
      </w:pPr>
      <w:r>
        <w:rPr>
          <w:rFonts w:ascii="Arial" w:cs="Arial" w:eastAsia="Arial" w:hAnsi="Arial"/>
          <w:color w:val="1A1A1A"/>
          <w:sz w:val="22"/>
          <w:szCs w:val="22"/>
        </w:rPr>
        <w:t xml:space="preserve">Key findings across tiers:</w:t>
      </w:r>
    </w:p>
    <w:p>
      <w:pPr>
        <w:pStyle w:val="ListParagraph"/>
        <w:numPr>
          <w:ilvl w:val="0"/>
          <w:numId w:val="2"/>
        </w:numPr>
        <w:spacing w:after="40" w:before="40"/>
      </w:pPr>
      <w:r>
        <w:rPr>
          <w:rFonts w:ascii="Arial" w:cs="Arial" w:eastAsia="Arial" w:hAnsi="Arial"/>
          <w:color w:val="1A1A1A"/>
          <w:sz w:val="22"/>
          <w:szCs w:val="22"/>
        </w:rPr>
        <w:t xml:space="preserve">Wyoming: 25+ blockchain-specific statutes since 2016, SPDI charter, Digital Asset Act, DAO LLC framework — purpose-built for this product.</w:t>
      </w:r>
    </w:p>
    <w:p>
      <w:pPr>
        <w:pStyle w:val="ListParagraph"/>
        <w:numPr>
          <w:ilvl w:val="0"/>
          <w:numId w:val="2"/>
        </w:numPr>
        <w:spacing w:after="40" w:before="40"/>
      </w:pPr>
      <w:r>
        <w:rPr>
          <w:rFonts w:ascii="Arial" w:cs="Arial" w:eastAsia="Arial" w:hAnsi="Arial"/>
          <w:color w:val="1A1A1A"/>
          <w:sz w:val="22"/>
          <w:szCs w:val="22"/>
        </w:rPr>
        <w:t xml:space="preserve">USA: Federal posture has transformed in 2025-2026. SEC Project Crypto, the GENIUS Act (signed July 2025), and the CLARITY Act moving through Congress create the most favorable environment in U.S. history for compliant tokenization.</w:t>
      </w:r>
    </w:p>
    <w:p>
      <w:pPr>
        <w:pStyle w:val="ListParagraph"/>
        <w:numPr>
          <w:ilvl w:val="0"/>
          <w:numId w:val="2"/>
        </w:numPr>
        <w:spacing w:after="40" w:before="40"/>
      </w:pPr>
      <w:r>
        <w:rPr>
          <w:rFonts w:ascii="Arial" w:cs="Arial" w:eastAsia="Arial" w:hAnsi="Arial"/>
          <w:color w:val="1A1A1A"/>
          <w:sz w:val="22"/>
          <w:szCs w:val="22"/>
        </w:rPr>
        <w:t xml:space="preserve">Global: Dubai/UAE is the most aggressively government-backed tokenization market. Singapore offers institutional-grade frameworks. Both are natural Phase 3 targets after U.S. traction is established.</w:t>
      </w:r>
    </w:p>
    <w:p>
      <w:pPr>
        <w:pStyle w:val="ListParagraph"/>
        <w:numPr>
          <w:ilvl w:val="0"/>
          <w:numId w:val="2"/>
        </w:numPr>
        <w:spacing w:after="40" w:before="40"/>
      </w:pPr>
      <w:r>
        <w:rPr>
          <w:rFonts w:ascii="Arial" w:cs="Arial" w:eastAsia="Arial" w:hAnsi="Arial"/>
          <w:color w:val="1A1A1A"/>
          <w:sz w:val="22"/>
          <w:szCs w:val="22"/>
        </w:rPr>
        <w:t xml:space="preserve">Both property types: Occupied primary residence tokenization (DeedFlow's core) is structurally novel and requires proactive regulatory engagement. Investment property tokenization has more established precedent globally.</w:t>
      </w:r>
    </w:p>
    <w:p>
      <w:pPr>
        <w:pBdr>
          <w:bottom w:val="single" w:color="E4E9ED" w:sz="6" w:space="1"/>
        </w:pBdr>
        <w:spacing w:after="200" w:before="200"/>
      </w:pPr>
      <w:r>
        <w:t xml:space="preserve"/>
      </w:r>
    </w:p>
    <w:p>
      <w:pPr>
        <w:pStyle w:val="Heading1"/>
        <w:pBdr>
          <w:bottom w:val="single" w:color="285A44" w:sz="10" w:space="8"/>
        </w:pBdr>
        <w:spacing w:after="120" w:before="400"/>
      </w:pPr>
      <w:r>
        <w:rPr>
          <w:rFonts w:ascii="Arial" w:cs="Arial" w:eastAsia="Arial" w:hAnsi="Arial"/>
          <w:b/>
          <w:bCs/>
          <w:color w:val="18242F"/>
          <w:sz w:val="34"/>
          <w:szCs w:val="34"/>
        </w:rPr>
        <w:t xml:space="preserve">Part 1 — Wyoming: The Launch Jurisdiction</w:t>
      </w:r>
    </w:p>
    <w:p>
      <w:pPr>
        <w:pStyle w:val="Heading2"/>
        <w:spacing w:after="100" w:before="300"/>
      </w:pPr>
      <w:r>
        <w:rPr>
          <w:rFonts w:ascii="Arial" w:cs="Arial" w:eastAsia="Arial" w:hAnsi="Arial"/>
          <w:b/>
          <w:bCs/>
          <w:color w:val="285A44"/>
          <w:sz w:val="26"/>
          <w:szCs w:val="26"/>
        </w:rPr>
        <w:t xml:space="preserve">1.1 Why Wyoming Is in a Category of Its Own</w:t>
      </w:r>
    </w:p>
    <w:p>
      <w:pPr>
        <w:spacing w:after="100" w:before="60"/>
      </w:pPr>
      <w:r>
        <w:rPr>
          <w:rFonts w:ascii="Arial" w:cs="Arial" w:eastAsia="Arial" w:hAnsi="Arial"/>
          <w:color w:val="1A1A1A"/>
          <w:sz w:val="22"/>
          <w:szCs w:val="22"/>
        </w:rPr>
        <w:t xml:space="preserve">Wyoming has passed more than 45 pieces of blockchain-specific legislation since 2016 — more than any other U.S. state and arguably more than any jurisdiction in the world. This was not accidental. The Wyoming Blockchain Select Committee has systematically built a legal framework that addresses digital asset custody, corporate records, securities, banking, and commercial law simultaneously.</w:t>
      </w:r>
    </w:p>
    <w:p>
      <w:pPr>
        <w:spacing w:after="100" w:before="0"/>
      </w:pPr>
      <w:r>
        <w:t xml:space="preserve"/>
      </w:r>
    </w:p>
    <w:tbl>
      <w:tblPr>
        <w:tblW w:type="dxa" w:w="9360"/>
        <w:tblBorders>
          <w:top w:val="single" w:color="B08A26" w:sz="1"/>
          <w:left w:val="single" w:color="B08A26" w:sz="20"/>
          <w:bottom w:val="single" w:color="B08A26" w:sz="1"/>
          <w:right w:val="single" w:color="B08A2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5E8" w:val="clear"/>
            <w:tcMar>
              <w:top w:type="dxa" w:w="160"/>
              <w:left w:type="dxa" w:w="220"/>
              <w:bottom w:type="dxa" w:w="160"/>
              <w:right w:type="dxa" w:w="220"/>
            </w:tcMar>
          </w:tcPr>
          <w:p>
            <w:pPr>
              <w:spacing w:after="60" w:before="0"/>
            </w:pPr>
            <w:r>
              <w:rPr>
                <w:rFonts w:ascii="Arial" w:cs="Arial" w:eastAsia="Arial" w:hAnsi="Arial"/>
                <w:b/>
                <w:bCs/>
                <w:color w:val="B08A26"/>
                <w:sz w:val="20"/>
                <w:szCs w:val="20"/>
              </w:rPr>
              <w:t xml:space="preserve">Teton County &amp; Carbon County Blockchain Pilot</w:t>
            </w:r>
          </w:p>
          <w:p>
            <w:pPr>
              <w:spacing w:after="0" w:before="0"/>
            </w:pPr>
            <w:r>
              <w:rPr>
                <w:rFonts w:ascii="Arial" w:cs="Arial" w:eastAsia="Arial" w:hAnsi="Arial"/>
                <w:color w:val="1A1A1A"/>
                <w:sz w:val="21"/>
                <w:szCs w:val="21"/>
              </w:rPr>
              <w:t xml:space="preserve">Wyoming counties have already placed land-title records on blockchain as a live pilot — the first step toward full tokenized real estate integration. This is not theoretical; it is operational infrastructure that DeedFlow can reference and potentially leverage.</w:t>
            </w:r>
          </w:p>
        </w:tc>
      </w:tr>
    </w:tbl>
    <w:p>
      <w:pPr>
        <w:spacing w:after="100" w:before="0"/>
      </w:pPr>
      <w:r>
        <w:t xml:space="preserve"/>
      </w:r>
    </w:p>
    <w:p>
      <w:pPr>
        <w:pStyle w:val="Heading2"/>
        <w:spacing w:after="100" w:before="300"/>
      </w:pPr>
      <w:r>
        <w:rPr>
          <w:rFonts w:ascii="Arial" w:cs="Arial" w:eastAsia="Arial" w:hAnsi="Arial"/>
          <w:b/>
          <w:bCs/>
          <w:color w:val="285A44"/>
          <w:sz w:val="26"/>
          <w:szCs w:val="26"/>
        </w:rPr>
        <w:t xml:space="preserve">1.2 The Wyoming Digital Asset Stack — Key Statutes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Statute / Framework</w:t>
            </w:r>
          </w:p>
        </w:tc>
        <w:tc>
          <w:tcPr>
            <w:tcW w:type="dxa" w:w="14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476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DeedFlow Relevance</w:t>
            </w:r>
          </w:p>
        </w:tc>
      </w:tr>
      <w:tr>
        <w:tc>
          <w:tcPr>
            <w:tcW w:type="dxa" w:w="32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Digital Asset Management Act (W.S. 34-29-101)</w:t>
            </w:r>
          </w:p>
        </w:tc>
        <w:tc>
          <w:tcPr>
            <w:tcW w:type="dxa" w:w="1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2019/2021</w:t>
            </w:r>
          </w:p>
        </w:tc>
        <w:tc>
          <w:tcPr>
            <w:tcW w:type="dxa" w:w="47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Explicit legal property rights for digital asset holders. DEED tokens are recognized as intangible personal property.</w:t>
            </w:r>
          </w:p>
        </w:tc>
      </w:tr>
      <w:tr>
        <w:tc>
          <w:tcPr>
            <w:tcW w:type="dxa" w:w="32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SPDI Charter (H.B. 74, W.S. 13-12-101)</w:t>
            </w:r>
          </w:p>
        </w:tc>
        <w:tc>
          <w:tcPr>
            <w:tcW w:type="dxa" w:w="1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2019/2020</w:t>
            </w:r>
          </w:p>
        </w:tc>
        <w:tc>
          <w:tcPr>
            <w:tcW w:type="dxa" w:w="47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Special Purpose Depository Institution: fully-reserved bank for digital asset custody. Available as custody solution for DEED tokens.</w:t>
            </w:r>
          </w:p>
        </w:tc>
      </w:tr>
      <w:tr>
        <w:tc>
          <w:tcPr>
            <w:tcW w:type="dxa" w:w="32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DAO LLC Framework</w:t>
            </w:r>
          </w:p>
        </w:tc>
        <w:tc>
          <w:tcPr>
            <w:tcW w:type="dxa" w:w="1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2021</w:t>
            </w:r>
          </w:p>
        </w:tc>
        <w:tc>
          <w:tcPr>
            <w:tcW w:type="dxa" w:w="47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Novel entity structure for token governance. DeedFlow could structure token holder governance via a DAO LLC.</w:t>
            </w:r>
          </w:p>
        </w:tc>
      </w:tr>
      <w:tr>
        <w:tc>
          <w:tcPr>
            <w:tcW w:type="dxa" w:w="32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Utility Token Act (W.S. 17-4-206)</w:t>
            </w:r>
          </w:p>
        </w:tc>
        <w:tc>
          <w:tcPr>
            <w:tcW w:type="dxa" w:w="1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2019</w:t>
            </w:r>
          </w:p>
        </w:tc>
        <w:tc>
          <w:tcPr>
            <w:tcW w:type="dxa" w:w="47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Carves out consumptive tokens from state securities law. DEED tokens likely do not qualify (they are securities), but framework establishes Wyoming's intent.</w:t>
            </w:r>
          </w:p>
        </w:tc>
      </w:tr>
      <w:tr>
        <w:tc>
          <w:tcPr>
            <w:tcW w:type="dxa" w:w="32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UCC Article 12 Digital Assets</w:t>
            </w:r>
          </w:p>
        </w:tc>
        <w:tc>
          <w:tcPr>
            <w:tcW w:type="dxa" w:w="1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2021</w:t>
            </w:r>
          </w:p>
        </w:tc>
        <w:tc>
          <w:tcPr>
            <w:tcW w:type="dxa" w:w="47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Clarifies perfection and priority of security interests in digital assets. DEED token pledges can be legally perfected under Wyoming UCC.</w:t>
            </w:r>
          </w:p>
        </w:tc>
      </w:tr>
      <w:tr>
        <w:tc>
          <w:tcPr>
            <w:tcW w:type="dxa" w:w="32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FinTech Sandbox Act (W.S. 40-29-101)</w:t>
            </w:r>
          </w:p>
        </w:tc>
        <w:tc>
          <w:tcPr>
            <w:tcW w:type="dxa" w:w="1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2019</w:t>
            </w:r>
          </w:p>
        </w:tc>
        <w:tc>
          <w:tcPr>
            <w:tcW w:type="dxa" w:w="47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Time-limited regulatory waivers for innovative fintech products. DeedFlow could apply for a sandbox waiver to test before full compliance build-out.</w:t>
            </w:r>
          </w:p>
        </w:tc>
      </w:tr>
      <w:tr>
        <w:tc>
          <w:tcPr>
            <w:tcW w:type="dxa" w:w="32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Wyoming Stable Token (WYST)</w:t>
            </w:r>
          </w:p>
        </w:tc>
        <w:tc>
          <w:tcPr>
            <w:tcW w:type="dxa" w:w="1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2025</w:t>
            </w:r>
          </w:p>
        </w:tc>
        <w:tc>
          <w:tcPr>
            <w:tcW w:type="dxa" w:w="47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State-issued stablecoin deployed August 2025. Demonstrates Wyoming's commitment at government level. Potential settlement currency for DeedFlow distributions.</w:t>
            </w:r>
          </w:p>
        </w:tc>
      </w:tr>
      <w:tr>
        <w:tc>
          <w:tcPr>
            <w:tcW w:type="dxa" w:w="32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Blockchain Electronic Records Act</w:t>
            </w:r>
          </w:p>
        </w:tc>
        <w:tc>
          <w:tcPr>
            <w:tcW w:type="dxa" w:w="1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2019</w:t>
            </w:r>
          </w:p>
        </w:tc>
        <w:tc>
          <w:tcPr>
            <w:tcW w:type="dxa" w:w="47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Corporations may use blockchain for records and shareholder identification. Operational infrastructure for DeedFlow's token registry.</w:t>
            </w:r>
          </w:p>
        </w:tc>
      </w:tr>
    </w:tbl>
    <w:p>
      <w:pPr>
        <w:spacing w:after="100" w:before="0"/>
      </w:pPr>
      <w:r>
        <w:t xml:space="preserve"/>
      </w:r>
    </w:p>
    <w:p>
      <w:pPr>
        <w:pStyle w:val="Heading2"/>
        <w:spacing w:after="100" w:before="300"/>
      </w:pPr>
      <w:r>
        <w:rPr>
          <w:rFonts w:ascii="Arial" w:cs="Arial" w:eastAsia="Arial" w:hAnsi="Arial"/>
          <w:b/>
          <w:bCs/>
          <w:color w:val="285A44"/>
          <w:sz w:val="26"/>
          <w:szCs w:val="26"/>
        </w:rPr>
        <w:t xml:space="preserve">1.3 Occupied Home (Primary Residence) — Wyoming Analysis</w:t>
      </w:r>
    </w:p>
    <w:p>
      <w:pPr>
        <w:pStyle w:val="Heading3"/>
        <w:spacing w:after="80" w:before="220"/>
      </w:pPr>
      <w:r>
        <w:rPr>
          <w:rFonts w:ascii="Arial" w:cs="Arial" w:eastAsia="Arial" w:hAnsi="Arial"/>
          <w:b/>
          <w:bCs/>
          <w:color w:val="18242F"/>
          <w:sz w:val="22"/>
          <w:szCs w:val="22"/>
        </w:rPr>
        <w:t xml:space="preserve">Tokenization Structure</w:t>
      </w:r>
    </w:p>
    <w:p>
      <w:pPr>
        <w:spacing w:after="100" w:before="60"/>
      </w:pPr>
      <w:r>
        <w:rPr>
          <w:rFonts w:ascii="Arial" w:cs="Arial" w:eastAsia="Arial" w:hAnsi="Arial"/>
          <w:color w:val="1A1A1A"/>
          <w:sz w:val="22"/>
          <w:szCs w:val="22"/>
        </w:rPr>
        <w:t xml:space="preserve">DEED tokens represent synthetic equity interests — not a deed transfer, not a recorded lien, and not a mortgage instrument. This is the critical legal distinction that makes the product viable in Wyoming. The token pledge mechanism is perfectable under Wyoming's UCC Article 12 digital asset provisions, which explicitly address security interests in digital assets.</w:t>
      </w:r>
    </w:p>
    <w:p>
      <w:pPr>
        <w:spacing w:after="100" w:before="0"/>
      </w:pPr>
      <w:r>
        <w:t xml:space="preserve"/>
      </w:r>
    </w:p>
    <w:p>
      <w:pPr>
        <w:pStyle w:val="Heading3"/>
        <w:spacing w:after="80" w:before="220"/>
      </w:pPr>
      <w:r>
        <w:rPr>
          <w:rFonts w:ascii="Arial" w:cs="Arial" w:eastAsia="Arial" w:hAnsi="Arial"/>
          <w:b/>
          <w:bCs/>
          <w:color w:val="18242F"/>
          <w:sz w:val="22"/>
          <w:szCs w:val="22"/>
        </w:rPr>
        <w:t xml:space="preserve">Due-on-Sale Clause Risk</w:t>
      </w:r>
    </w:p>
    <w:p>
      <w:pPr>
        <w:spacing w:after="100" w:before="60"/>
      </w:pPr>
      <w:r>
        <w:rPr>
          <w:rFonts w:ascii="Arial" w:cs="Arial" w:eastAsia="Arial" w:hAnsi="Arial"/>
          <w:color w:val="1A1A1A"/>
          <w:sz w:val="22"/>
          <w:szCs w:val="22"/>
        </w:rPr>
        <w:t xml:space="preserve">Most residential mortgages contain a due-on-sale clause. Wyoming legal analysis strongly suggests that a synthetic token layer — which is not a recorded real property interest and does not transfer the deed — does not trigger this clause. However, this is not a zero-risk position. DeedFlow should obtain written legal opinion from Wyoming real estate counsel and seek lender consent wherever the mortgage holder will provide it.</w:t>
      </w:r>
    </w:p>
    <w:p>
      <w:pPr>
        <w:spacing w:after="100" w:before="0"/>
      </w:pPr>
      <w:r>
        <w:t xml:space="preserve"/>
      </w:r>
    </w:p>
    <w:p>
      <w:pPr>
        <w:pStyle w:val="Heading3"/>
        <w:spacing w:after="80" w:before="220"/>
      </w:pPr>
      <w:r>
        <w:rPr>
          <w:rFonts w:ascii="Arial" w:cs="Arial" w:eastAsia="Arial" w:hAnsi="Arial"/>
          <w:b/>
          <w:bCs/>
          <w:color w:val="18242F"/>
          <w:sz w:val="22"/>
          <w:szCs w:val="22"/>
        </w:rPr>
        <w:t xml:space="preserve">Property Tax Implications</w:t>
      </w:r>
    </w:p>
    <w:p>
      <w:pPr>
        <w:spacing w:after="100" w:before="60"/>
      </w:pPr>
      <w:r>
        <w:rPr>
          <w:rFonts w:ascii="Arial" w:cs="Arial" w:eastAsia="Arial" w:hAnsi="Arial"/>
          <w:color w:val="1A1A1A"/>
          <w:sz w:val="22"/>
          <w:szCs w:val="22"/>
        </w:rPr>
        <w:t xml:space="preserve">Wyoming's 4% property tax cap (automatic, no homeowner action required) and the long-term homeowner exemption (50% reduction for residents 65+ with 25+ years in state) are significant for DeedFlow's senior homeowner use case. Tokenization does not change the property's assessed value or tax treatment — tokens are intangible personal property, not real property.</w:t>
      </w:r>
    </w:p>
    <w:p>
      <w:pPr>
        <w:spacing w:after="100" w:before="0"/>
      </w:pPr>
      <w:r>
        <w:t xml:space="preserve"/>
      </w:r>
    </w:p>
    <w:tbl>
      <w:tblPr>
        <w:tblW w:type="dxa" w:w="9360"/>
        <w:tblBorders>
          <w:top w:val="single" w:color="285A44" w:sz="1"/>
          <w:left w:val="single" w:color="285A44" w:sz="20"/>
          <w:bottom w:val="single" w:color="285A44" w:sz="1"/>
          <w:right w:val="single" w:color="285A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5F1" w:val="clear"/>
            <w:tcMar>
              <w:top w:type="dxa" w:w="160"/>
              <w:left w:type="dxa" w:w="220"/>
              <w:bottom w:type="dxa" w:w="160"/>
              <w:right w:type="dxa" w:w="220"/>
            </w:tcMar>
          </w:tcPr>
          <w:p>
            <w:pPr>
              <w:spacing w:after="60" w:before="0"/>
            </w:pPr>
            <w:r>
              <w:rPr>
                <w:rFonts w:ascii="Arial" w:cs="Arial" w:eastAsia="Arial" w:hAnsi="Arial"/>
                <w:b/>
                <w:bCs/>
                <w:color w:val="285A44"/>
                <w:sz w:val="20"/>
                <w:szCs w:val="20"/>
              </w:rPr>
              <w:t xml:space="preserve">Wyoming Regulatory Advantage for Primary Homes</w:t>
            </w:r>
          </w:p>
          <w:p>
            <w:pPr>
              <w:spacing w:after="0" w:before="0"/>
            </w:pPr>
            <w:r>
              <w:rPr>
                <w:rFonts w:ascii="Arial" w:cs="Arial" w:eastAsia="Arial" w:hAnsi="Arial"/>
                <w:color w:val="1A1A1A"/>
                <w:sz w:val="21"/>
                <w:szCs w:val="21"/>
              </w:rPr>
              <w:t xml:space="preserve">DeedFlow's primary home product has no direct regulatory precedent anywhere in the world — it is structurally novel. Wyoming's FinTech Sandbox Act is the ideal mechanism for launch: apply for a time-limited regulatory waiver, run a pilot cohort of 10-20 properties, document the structure's legal treatment, and use that documented experience to build the full compliance framework. This is the cleanest, lowest-risk path to a legal product.</w:t>
            </w:r>
          </w:p>
        </w:tc>
      </w:tr>
    </w:tbl>
    <w:p>
      <w:pPr>
        <w:spacing w:after="100" w:before="0"/>
      </w:pPr>
      <w:r>
        <w:t xml:space="preserve"/>
      </w:r>
    </w:p>
    <w:p>
      <w:pPr>
        <w:pStyle w:val="Heading2"/>
        <w:spacing w:after="100" w:before="300"/>
      </w:pPr>
      <w:r>
        <w:rPr>
          <w:rFonts w:ascii="Arial" w:cs="Arial" w:eastAsia="Arial" w:hAnsi="Arial"/>
          <w:b/>
          <w:bCs/>
          <w:color w:val="285A44"/>
          <w:sz w:val="26"/>
          <w:szCs w:val="26"/>
        </w:rPr>
        <w:t xml:space="preserve">1.4 Investment Property — Wyoming Analysis</w:t>
      </w:r>
    </w:p>
    <w:p>
      <w:pPr>
        <w:spacing w:after="100" w:before="60"/>
      </w:pPr>
      <w:r>
        <w:rPr>
          <w:rFonts w:ascii="Arial" w:cs="Arial" w:eastAsia="Arial" w:hAnsi="Arial"/>
          <w:color w:val="1A1A1A"/>
          <w:sz w:val="22"/>
          <w:szCs w:val="22"/>
        </w:rPr>
        <w:t xml:space="preserve">Investment property tokenization has more established precedent than primary residence tokenization. Platforms like RealT (Ethereum, $150M+ tokenized) and Lofty (Algorand) have operated tokenized rental property models in the U.S. since 2020. Wyoming's digital asset framework fully supports this structure.</w:t>
      </w:r>
    </w:p>
    <w:p>
      <w:pPr>
        <w:spacing w:after="10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Investment properties do not carry the due-on-sale complexity of primary residences with owner-occupied mortgages.</w:t>
      </w:r>
    </w:p>
    <w:p>
      <w:pPr>
        <w:pStyle w:val="ListParagraph"/>
        <w:numPr>
          <w:ilvl w:val="0"/>
          <w:numId w:val="2"/>
        </w:numPr>
        <w:spacing w:after="40" w:before="40"/>
      </w:pPr>
      <w:r>
        <w:rPr>
          <w:rFonts w:ascii="Arial" w:cs="Arial" w:eastAsia="Arial" w:hAnsi="Arial"/>
          <w:color w:val="1A1A1A"/>
          <w:sz w:val="22"/>
          <w:szCs w:val="22"/>
        </w:rPr>
        <w:t xml:space="preserve">Rental income distributions via smart contract are straightforwardly structured as dividend-equivalent payments to token holders.</w:t>
      </w:r>
    </w:p>
    <w:p>
      <w:pPr>
        <w:pStyle w:val="ListParagraph"/>
        <w:numPr>
          <w:ilvl w:val="0"/>
          <w:numId w:val="2"/>
        </w:numPr>
        <w:spacing w:after="40" w:before="40"/>
      </w:pPr>
      <w:r>
        <w:rPr>
          <w:rFonts w:ascii="Arial" w:cs="Arial" w:eastAsia="Arial" w:hAnsi="Arial"/>
          <w:color w:val="1A1A1A"/>
          <w:sz w:val="22"/>
          <w:szCs w:val="22"/>
        </w:rPr>
        <w:t xml:space="preserve">The triple-stack model (rent + fund yield + tokenized appreciation) is novel in its combination but not in its individual components.</w:t>
      </w:r>
    </w:p>
    <w:p>
      <w:pPr>
        <w:pStyle w:val="ListParagraph"/>
        <w:numPr>
          <w:ilvl w:val="0"/>
          <w:numId w:val="2"/>
        </w:numPr>
        <w:spacing w:after="40" w:before="40"/>
      </w:pPr>
      <w:r>
        <w:rPr>
          <w:rFonts w:ascii="Arial" w:cs="Arial" w:eastAsia="Arial" w:hAnsi="Arial"/>
          <w:color w:val="1A1A1A"/>
          <w:sz w:val="22"/>
          <w:szCs w:val="22"/>
        </w:rPr>
        <w:t xml:space="preserve">Investment property tokens are almost certainly securities under Howey — treat as such from day one.</w:t>
      </w:r>
    </w:p>
    <w:p>
      <w:pPr>
        <w:spacing w:after="100" w:before="0"/>
      </w:pPr>
      <w:r>
        <w:t xml:space="preserve"/>
      </w:r>
    </w:p>
    <w:p>
      <w:pPr>
        <w:pStyle w:val="Heading2"/>
        <w:spacing w:after="100" w:before="300"/>
      </w:pPr>
      <w:r>
        <w:rPr>
          <w:rFonts w:ascii="Arial" w:cs="Arial" w:eastAsia="Arial" w:hAnsi="Arial"/>
          <w:b/>
          <w:bCs/>
          <w:color w:val="285A44"/>
          <w:sz w:val="26"/>
          <w:szCs w:val="26"/>
        </w:rPr>
        <w:t xml:space="preserve">1.5 SPDI Charter — Strategic Consideration</w:t>
      </w:r>
    </w:p>
    <w:p>
      <w:pPr>
        <w:spacing w:after="100" w:before="60"/>
      </w:pPr>
      <w:r>
        <w:rPr>
          <w:rFonts w:ascii="Arial" w:cs="Arial" w:eastAsia="Arial" w:hAnsi="Arial"/>
          <w:color w:val="1A1A1A"/>
          <w:sz w:val="22"/>
          <w:szCs w:val="22"/>
        </w:rPr>
        <w:t xml:space="preserve">Wyoming's SPDI framework creates fully-reserved banks specifically designed for digital asset custody. Four SPDI charters have been issued as of 2026. DeedFlow should evaluate either obtaining an SPDI charter or partnering with an existing SPDI holder (Two Ocean Trust is the most prominent) for token custody and distribution functions. This would provide regulated banking infrastructure without traditional bank complexity.</w:t>
      </w:r>
    </w:p>
    <w:p>
      <w:pPr>
        <w:pBdr>
          <w:bottom w:val="single" w:color="E4E9ED" w:sz="6" w:space="1"/>
        </w:pBdr>
        <w:spacing w:after="200" w:before="200"/>
      </w:pPr>
      <w:r>
        <w:t xml:space="preserve"/>
      </w:r>
    </w:p>
    <w:p>
      <w:pPr>
        <w:pStyle w:val="Heading1"/>
        <w:pBdr>
          <w:bottom w:val="single" w:color="285A44" w:sz="10" w:space="8"/>
        </w:pBdr>
        <w:spacing w:after="120" w:before="400"/>
      </w:pPr>
      <w:r>
        <w:rPr>
          <w:rFonts w:ascii="Arial" w:cs="Arial" w:eastAsia="Arial" w:hAnsi="Arial"/>
          <w:b/>
          <w:bCs/>
          <w:color w:val="18242F"/>
          <w:sz w:val="34"/>
          <w:szCs w:val="34"/>
        </w:rPr>
        <w:t xml:space="preserve">Part 2 — United States: National Expansion</w:t>
      </w:r>
    </w:p>
    <w:p>
      <w:pPr>
        <w:pStyle w:val="Heading2"/>
        <w:spacing w:after="100" w:before="300"/>
      </w:pPr>
      <w:r>
        <w:rPr>
          <w:rFonts w:ascii="Arial" w:cs="Arial" w:eastAsia="Arial" w:hAnsi="Arial"/>
          <w:b/>
          <w:bCs/>
          <w:color w:val="285A44"/>
          <w:sz w:val="26"/>
          <w:szCs w:val="26"/>
        </w:rPr>
        <w:t xml:space="preserve">2.1 Federal Regulatory Landscape — 2025-2026 Transformation</w:t>
      </w:r>
    </w:p>
    <w:p>
      <w:pPr>
        <w:spacing w:after="100" w:before="60"/>
      </w:pPr>
      <w:r>
        <w:rPr>
          <w:rFonts w:ascii="Arial" w:cs="Arial" w:eastAsia="Arial" w:hAnsi="Arial"/>
          <w:color w:val="1A1A1A"/>
          <w:sz w:val="22"/>
          <w:szCs w:val="22"/>
        </w:rPr>
        <w:t xml:space="preserve">The U.S. federal regulatory environment for digital assets has undergone a fundamental transformation in 2025-2026. The shift from enforcement-first to clarity-first represents the most significant policy change since blockchain technology emerged.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Development</w:t>
            </w:r>
          </w:p>
        </w:tc>
        <w:tc>
          <w:tcPr>
            <w:tcW w:type="dxa" w:w="16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536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DeedFlow Impact</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GENIUS Act signed into law</w:t>
            </w:r>
          </w:p>
        </w:tc>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July 2025</w:t>
            </w:r>
          </w:p>
        </w:tc>
        <w:tc>
          <w:tcPr>
            <w:tcW w:type="dxa" w:w="5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First federal stablecoin framework. Recognizes Wyoming SPDI charter. Creates settlement currency infrastructure for token distributions.</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SEC Project Crypto launched</w:t>
            </w:r>
          </w:p>
        </w:tc>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2025</w:t>
            </w:r>
          </w:p>
        </w:tc>
        <w:tc>
          <w:tcPr>
            <w:tcW w:type="dxa" w:w="5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SEC explicitly shifting from enforcement to guidance. Innovation exemption being developed for compliant on-chain trading of tokenized securities.</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SEC Token Taxonomy published</w:t>
            </w:r>
          </w:p>
        </w:tc>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March 2026</w:t>
            </w:r>
          </w:p>
        </w:tc>
        <w:tc>
          <w:tcPr>
            <w:tcW w:type="dxa" w:w="5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Covers digital securities, commodities, collectibles, tools, and stablecoins. DEED tokens will likely be classified as digital securities — gives DeedFlow a clear classification to build around.</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DOJ Memo: End Regulation by Prosecution</w:t>
            </w:r>
          </w:p>
        </w:tc>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2025</w:t>
            </w:r>
          </w:p>
        </w:tc>
        <w:tc>
          <w:tcPr>
            <w:tcW w:type="dxa" w:w="5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DOJ deprioritizes criminal tools for regulatory classification disputes. Focus shifts to fraud, misappropriation, sanctions violations. Reduces enforcement risk for novel but good-faith structures.</w:t>
            </w:r>
          </w:p>
        </w:tc>
      </w:tr>
      <w:tr>
        <w:tc>
          <w:tcPr>
            <w:tcW w:type="dxa" w:w="2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CLARITY Act (House passed)</w:t>
            </w:r>
          </w:p>
        </w:tc>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8B6E52"/>
                <w:sz w:val="19"/>
                <w:szCs w:val="19"/>
              </w:rPr>
              <w:t xml:space="preserve">2025</w:t>
            </w:r>
          </w:p>
        </w:tc>
        <w:tc>
          <w:tcPr>
            <w:tcW w:type="dxa" w:w="5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Digital Asset Market Clarity Act defines boundary between securities and commodities for digital assets. Pending Senate — resolution expected to provide additional structural clarity.</w:t>
            </w:r>
          </w:p>
        </w:tc>
      </w:tr>
      <w:tr>
        <w:tc>
          <w:tcPr>
            <w:tcW w:type="dxa" w:w="2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Fed/OCC/FDIC Joint FAQ</w:t>
            </w:r>
          </w:p>
        </w:tc>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8B6E52"/>
                <w:sz w:val="19"/>
                <w:szCs w:val="19"/>
              </w:rPr>
              <w:t xml:space="preserve">March 2025</w:t>
            </w:r>
          </w:p>
        </w:tc>
        <w:tc>
          <w:tcPr>
            <w:tcW w:type="dxa" w:w="5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Technology-neutral capital treatment confirmed: tokenized security receives same treatment as non-tokenized equivalent. Removes banking sector uncertainty around token collateral.</w:t>
            </w:r>
          </w:p>
        </w:tc>
      </w:tr>
    </w:tbl>
    <w:p>
      <w:pPr>
        <w:spacing w:after="100" w:before="0"/>
      </w:pPr>
      <w:r>
        <w:t xml:space="preserve"/>
      </w:r>
    </w:p>
    <w:p>
      <w:pPr>
        <w:pStyle w:val="Heading2"/>
        <w:spacing w:after="100" w:before="300"/>
      </w:pPr>
      <w:r>
        <w:rPr>
          <w:rFonts w:ascii="Arial" w:cs="Arial" w:eastAsia="Arial" w:hAnsi="Arial"/>
          <w:b/>
          <w:bCs/>
          <w:color w:val="285A44"/>
          <w:sz w:val="26"/>
          <w:szCs w:val="26"/>
        </w:rPr>
        <w:t xml:space="preserve">2.2 Regulatory Path — Offering Exemptions</w:t>
      </w:r>
    </w:p>
    <w:p>
      <w:pPr>
        <w:pStyle w:val="Heading3"/>
        <w:spacing w:after="80" w:before="220"/>
      </w:pPr>
      <w:r>
        <w:rPr>
          <w:rFonts w:ascii="Arial" w:cs="Arial" w:eastAsia="Arial" w:hAnsi="Arial"/>
          <w:b/>
          <w:bCs/>
          <w:color w:val="18242F"/>
          <w:sz w:val="22"/>
          <w:szCs w:val="22"/>
        </w:rPr>
        <w:t xml:space="preserve">Phase 1: Regulation D Rule 506(c) — Launch Immediately</w:t>
      </w:r>
    </w:p>
    <w:p>
      <w:pPr>
        <w:pStyle w:val="ListParagraph"/>
        <w:numPr>
          <w:ilvl w:val="0"/>
          <w:numId w:val="2"/>
        </w:numPr>
        <w:spacing w:after="40" w:before="40"/>
      </w:pPr>
      <w:r>
        <w:rPr>
          <w:rFonts w:ascii="Arial" w:cs="Arial" w:eastAsia="Arial" w:hAnsi="Arial"/>
          <w:color w:val="1A1A1A"/>
          <w:sz w:val="22"/>
          <w:szCs w:val="22"/>
        </w:rPr>
        <w:t xml:space="preserve">No SEC registration required. File Form D within 15 days of first sale.</w:t>
      </w:r>
    </w:p>
    <w:p>
      <w:pPr>
        <w:pStyle w:val="ListParagraph"/>
        <w:numPr>
          <w:ilvl w:val="0"/>
          <w:numId w:val="2"/>
        </w:numPr>
        <w:spacing w:after="40" w:before="40"/>
      </w:pPr>
      <w:r>
        <w:rPr>
          <w:rFonts w:ascii="Arial" w:cs="Arial" w:eastAsia="Arial" w:hAnsi="Arial"/>
          <w:color w:val="1A1A1A"/>
          <w:sz w:val="22"/>
          <w:szCs w:val="22"/>
        </w:rPr>
        <w:t xml:space="preserve">Accredited investors only: net worth &gt;$1M excluding primary residence, or income &gt;$200K individual / $300K joint.</w:t>
      </w:r>
    </w:p>
    <w:p>
      <w:pPr>
        <w:pStyle w:val="ListParagraph"/>
        <w:numPr>
          <w:ilvl w:val="0"/>
          <w:numId w:val="2"/>
        </w:numPr>
        <w:spacing w:after="40" w:before="40"/>
      </w:pPr>
      <w:r>
        <w:rPr>
          <w:rFonts w:ascii="Arial" w:cs="Arial" w:eastAsia="Arial" w:hAnsi="Arial"/>
          <w:color w:val="1A1A1A"/>
          <w:sz w:val="22"/>
          <w:szCs w:val="22"/>
        </w:rPr>
        <w:t xml:space="preserve">Rule 506(c) permits general solicitation and advertising if all purchasers are verified accredited investors.</w:t>
      </w:r>
    </w:p>
    <w:p>
      <w:pPr>
        <w:pStyle w:val="ListParagraph"/>
        <w:numPr>
          <w:ilvl w:val="0"/>
          <w:numId w:val="2"/>
        </w:numPr>
        <w:spacing w:after="40" w:before="40"/>
      </w:pPr>
      <w:r>
        <w:rPr>
          <w:rFonts w:ascii="Arial" w:cs="Arial" w:eastAsia="Arial" w:hAnsi="Arial"/>
          <w:color w:val="1A1A1A"/>
          <w:sz w:val="22"/>
          <w:szCs w:val="22"/>
        </w:rPr>
        <w:t xml:space="preserve">No limit on offering size. Wyoming high-value homeowner target market will largely qualify.</w:t>
      </w:r>
    </w:p>
    <w:p>
      <w:pPr>
        <w:pStyle w:val="ListParagraph"/>
        <w:numPr>
          <w:ilvl w:val="0"/>
          <w:numId w:val="2"/>
        </w:numPr>
        <w:spacing w:after="40" w:before="40"/>
      </w:pPr>
      <w:r>
        <w:rPr>
          <w:rFonts w:ascii="Arial" w:cs="Arial" w:eastAsia="Arial" w:hAnsi="Arial"/>
          <w:color w:val="1A1A1A"/>
          <w:sz w:val="22"/>
          <w:szCs w:val="22"/>
        </w:rPr>
        <w:t xml:space="preserve">Investment Adviser registration required for fund management component — register at state level initially (below $110M AUM threshold).</w:t>
      </w:r>
    </w:p>
    <w:p>
      <w:pPr>
        <w:pStyle w:val="ListParagraph"/>
        <w:numPr>
          <w:ilvl w:val="0"/>
          <w:numId w:val="2"/>
        </w:numPr>
        <w:spacing w:after="40" w:before="40"/>
      </w:pPr>
      <w:r>
        <w:rPr>
          <w:rFonts w:ascii="Arial" w:cs="Arial" w:eastAsia="Arial" w:hAnsi="Arial"/>
          <w:color w:val="1A1A1A"/>
          <w:sz w:val="22"/>
          <w:szCs w:val="22"/>
        </w:rPr>
        <w:t xml:space="preserve">Broker-dealer requirement for marketplace: partner with FINRA-registered BD or explore ATS registration.</w:t>
      </w:r>
    </w:p>
    <w:p>
      <w:pPr>
        <w:spacing w:after="100" w:before="0"/>
      </w:pPr>
      <w:r>
        <w:t xml:space="preserve"/>
      </w:r>
    </w:p>
    <w:p>
      <w:pPr>
        <w:pStyle w:val="Heading3"/>
        <w:spacing w:after="80" w:before="220"/>
      </w:pPr>
      <w:r>
        <w:rPr>
          <w:rFonts w:ascii="Arial" w:cs="Arial" w:eastAsia="Arial" w:hAnsi="Arial"/>
          <w:b/>
          <w:bCs/>
          <w:color w:val="18242F"/>
          <w:sz w:val="22"/>
          <w:szCs w:val="22"/>
        </w:rPr>
        <w:t xml:space="preserve">Phase 2: Regulation A+ — Year 2-3</w:t>
      </w:r>
    </w:p>
    <w:p>
      <w:pPr>
        <w:pStyle w:val="ListParagraph"/>
        <w:numPr>
          <w:ilvl w:val="0"/>
          <w:numId w:val="2"/>
        </w:numPr>
        <w:spacing w:after="40" w:before="40"/>
      </w:pPr>
      <w:r>
        <w:rPr>
          <w:rFonts w:ascii="Arial" w:cs="Arial" w:eastAsia="Arial" w:hAnsi="Arial"/>
          <w:color w:val="1A1A1A"/>
          <w:sz w:val="22"/>
          <w:szCs w:val="22"/>
        </w:rPr>
        <w:t xml:space="preserve">Enables up to $75M annually to both accredited and non-accredited investors.</w:t>
      </w:r>
    </w:p>
    <w:p>
      <w:pPr>
        <w:pStyle w:val="ListParagraph"/>
        <w:numPr>
          <w:ilvl w:val="0"/>
          <w:numId w:val="2"/>
        </w:numPr>
        <w:spacing w:after="40" w:before="40"/>
      </w:pPr>
      <w:r>
        <w:rPr>
          <w:rFonts w:ascii="Arial" w:cs="Arial" w:eastAsia="Arial" w:hAnsi="Arial"/>
          <w:color w:val="1A1A1A"/>
          <w:sz w:val="22"/>
          <w:szCs w:val="22"/>
        </w:rPr>
        <w:t xml:space="preserve">SEC qualification process: 3-6+ months. Begin process in parallel with Reg D launch.</w:t>
      </w:r>
    </w:p>
    <w:p>
      <w:pPr>
        <w:pStyle w:val="ListParagraph"/>
        <w:numPr>
          <w:ilvl w:val="0"/>
          <w:numId w:val="2"/>
        </w:numPr>
        <w:spacing w:after="40" w:before="40"/>
      </w:pPr>
      <w:r>
        <w:rPr>
          <w:rFonts w:ascii="Arial" w:cs="Arial" w:eastAsia="Arial" w:hAnsi="Arial"/>
          <w:color w:val="1A1A1A"/>
          <w:sz w:val="22"/>
          <w:szCs w:val="22"/>
        </w:rPr>
        <w:t xml:space="preserve">Reg A+ Tier 2 preempts state Blue Sky law — significant simplification for multi-state expansion.</w:t>
      </w:r>
    </w:p>
    <w:p>
      <w:pPr>
        <w:pStyle w:val="ListParagraph"/>
        <w:numPr>
          <w:ilvl w:val="0"/>
          <w:numId w:val="2"/>
        </w:numPr>
        <w:spacing w:after="40" w:before="40"/>
      </w:pPr>
      <w:r>
        <w:rPr>
          <w:rFonts w:ascii="Arial" w:cs="Arial" w:eastAsia="Arial" w:hAnsi="Arial"/>
          <w:color w:val="1A1A1A"/>
          <w:sz w:val="22"/>
          <w:szCs w:val="22"/>
        </w:rPr>
        <w:t xml:space="preserve">Ongoing reporting requirements (Form 1-K annual, Form 1-SA semi-annual).</w:t>
      </w:r>
    </w:p>
    <w:p>
      <w:pPr>
        <w:spacing w:after="100" w:before="0"/>
      </w:pPr>
      <w:r>
        <w:t xml:space="preserve"/>
      </w:r>
    </w:p>
    <w:p>
      <w:pPr>
        <w:pStyle w:val="Heading3"/>
        <w:spacing w:after="80" w:before="220"/>
      </w:pPr>
      <w:r>
        <w:rPr>
          <w:rFonts w:ascii="Arial" w:cs="Arial" w:eastAsia="Arial" w:hAnsi="Arial"/>
          <w:b/>
          <w:bCs/>
          <w:color w:val="18242F"/>
          <w:sz w:val="22"/>
          <w:szCs w:val="22"/>
        </w:rPr>
        <w:t xml:space="preserve">CFPB Engagement — Critical for Reverse Mortgage Replacement</w:t>
      </w:r>
    </w:p>
    <w:p>
      <w:pPr>
        <w:spacing w:after="100" w:before="60"/>
      </w:pPr>
      <w:r>
        <w:rPr>
          <w:rFonts w:ascii="Arial" w:cs="Arial" w:eastAsia="Arial" w:hAnsi="Arial"/>
          <w:color w:val="1A1A1A"/>
          <w:sz w:val="22"/>
          <w:szCs w:val="22"/>
        </w:rPr>
        <w:t xml:space="preserve">The CFPB has jurisdiction over consumer financial products and will scrutinize the reverse mortgage replacement use case. DeedFlow's structural argument is strong — no loan, no accruing interest, no foreclosure risk — but this argument must be made proactively. Engage the CFPB's Office of Innovation (Project Catalyst) before marketing this use case. A no-action letter or informal guidance protects the platform.</w:t>
      </w:r>
    </w:p>
    <w:p>
      <w:pPr>
        <w:spacing w:after="100" w:before="0"/>
      </w:pPr>
      <w:r>
        <w:t xml:space="preserve"/>
      </w:r>
    </w:p>
    <w:p>
      <w:pPr>
        <w:pStyle w:val="Heading2"/>
        <w:spacing w:after="100" w:before="300"/>
      </w:pPr>
      <w:r>
        <w:rPr>
          <w:rFonts w:ascii="Arial" w:cs="Arial" w:eastAsia="Arial" w:hAnsi="Arial"/>
          <w:b/>
          <w:bCs/>
          <w:color w:val="285A44"/>
          <w:sz w:val="26"/>
          <w:szCs w:val="26"/>
        </w:rPr>
        <w:t xml:space="preserve">2.3 U.S. State Expansion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1800"/>
        <w:gridCol w:w="900"/>
        <w:gridCol w:w="2360"/>
      </w:tblGrid>
      <w:tr>
        <w:tc>
          <w:tcPr>
            <w:tcW w:type="dxa" w:w="16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9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Rating</w:t>
            </w:r>
          </w:p>
        </w:tc>
        <w:tc>
          <w:tcPr>
            <w:tcW w:type="dxa" w:w="18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Primary Home</w:t>
            </w:r>
          </w:p>
        </w:tc>
        <w:tc>
          <w:tcPr>
            <w:tcW w:type="dxa" w:w="18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Investment</w:t>
            </w:r>
          </w:p>
        </w:tc>
        <w:tc>
          <w:tcPr>
            <w:tcW w:type="dxa" w:w="9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36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Key Issue</w:t>
            </w:r>
          </w:p>
        </w:tc>
      </w:tr>
      <w:tr>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Wyoming</w:t>
            </w:r>
          </w:p>
        </w:tc>
        <w:tc>
          <w:tcPr>
            <w:tcW w:type="dxa" w:w="9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r>
              <w:rPr>
                <w:rFonts w:ascii="Arial" w:cs="Arial" w:eastAsia="Arial" w:hAnsi="Arial"/>
                <w:b/>
                <w:bCs/>
                <w:color w:val="1E5C3A"/>
                <w:sz w:val="19"/>
                <w:szCs w:val="19"/>
              </w:rPr>
              <w:t xml:space="preserve">LAUNCH</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Ideal — SPDI, full digital asset stack</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Strong — established precedent</w:t>
            </w:r>
          </w:p>
        </w:tc>
        <w:tc>
          <w:tcPr>
            <w:tcW w:type="dxa" w:w="9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Now</w:t>
            </w:r>
          </w:p>
        </w:tc>
        <w:tc>
          <w:tcPr>
            <w:tcW w:type="dxa" w:w="2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Purpose-built framework. No state superior.</w:t>
            </w:r>
          </w:p>
        </w:tc>
      </w:tr>
      <w:tr>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Nevada</w:t>
            </w:r>
          </w:p>
        </w:tc>
        <w:tc>
          <w:tcPr>
            <w:tcW w:type="dxa" w:w="9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r>
              <w:rPr>
                <w:rFonts w:ascii="Arial" w:cs="Arial" w:eastAsia="Arial" w:hAnsi="Arial"/>
                <w:b/>
                <w:bCs/>
                <w:color w:val="1E5C3A"/>
                <w:sz w:val="19"/>
                <w:szCs w:val="19"/>
              </w:rPr>
              <w:t xml:space="preserve">HIGH</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Favorable — blockchain records law amended</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Strong — casino/hospitality investment RE</w:t>
            </w:r>
          </w:p>
        </w:tc>
        <w:tc>
          <w:tcPr>
            <w:tcW w:type="dxa" w:w="9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w:t>
            </w:r>
          </w:p>
        </w:tc>
        <w:tc>
          <w:tcPr>
            <w:tcW w:type="dxa" w:w="2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Lender consent likely needed for token layer.</w:t>
            </w:r>
          </w:p>
        </w:tc>
      </w:tr>
      <w:tr>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Texas</w:t>
            </w:r>
          </w:p>
        </w:tc>
        <w:tc>
          <w:tcPr>
            <w:tcW w:type="dxa" w:w="9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r>
              <w:rPr>
                <w:rFonts w:ascii="Arial" w:cs="Arial" w:eastAsia="Arial" w:hAnsi="Arial"/>
                <w:b/>
                <w:bCs/>
                <w:color w:val="7A5C14"/>
                <w:sz w:val="19"/>
                <w:szCs w:val="19"/>
              </w:rPr>
              <w:t xml:space="preserve">MEDIUM</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Complex — constitutional homestead limits equity encumbrance</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Good — large investment market</w:t>
            </w:r>
          </w:p>
        </w:tc>
        <w:tc>
          <w:tcPr>
            <w:tcW w:type="dxa" w:w="9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w:t>
            </w:r>
          </w:p>
        </w:tc>
        <w:tc>
          <w:tcPr>
            <w:tcW w:type="dxa" w:w="2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Texas homestead law requires state-specific counsel.</w:t>
            </w:r>
          </w:p>
        </w:tc>
      </w:tr>
      <w:tr>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Florida</w:t>
            </w:r>
          </w:p>
        </w:tc>
        <w:tc>
          <w:tcPr>
            <w:tcW w:type="dxa" w:w="9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r>
              <w:rPr>
                <w:rFonts w:ascii="Arial" w:cs="Arial" w:eastAsia="Arial" w:hAnsi="Arial"/>
                <w:b/>
                <w:bCs/>
                <w:color w:val="7A5C14"/>
                <w:sz w:val="19"/>
                <w:szCs w:val="19"/>
              </w:rPr>
              <w:t xml:space="preserve">MEDIUM</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Very strong homestead protections — careful structuring</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Good — high-value coastal market</w:t>
            </w:r>
          </w:p>
        </w:tc>
        <w:tc>
          <w:tcPr>
            <w:tcW w:type="dxa" w:w="9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w:t>
            </w:r>
          </w:p>
        </w:tc>
        <w:tc>
          <w:tcPr>
            <w:tcW w:type="dxa" w:w="2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Homestead exemption impacts both use cases.</w:t>
            </w:r>
          </w:p>
        </w:tc>
      </w:tr>
      <w:tr>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Colorado</w:t>
            </w:r>
          </w:p>
        </w:tc>
        <w:tc>
          <w:tcPr>
            <w:tcW w:type="dxa" w:w="9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r>
              <w:rPr>
                <w:rFonts w:ascii="Arial" w:cs="Arial" w:eastAsia="Arial" w:hAnsi="Arial"/>
                <w:b/>
                <w:bCs/>
                <w:color w:val="1E5C3A"/>
                <w:sz w:val="19"/>
                <w:szCs w:val="19"/>
              </w:rPr>
              <w:t xml:space="preserve">HIGH</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Favorable — no explicit framework but litigation-friendly</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Strong — ski resort investment property</w:t>
            </w:r>
          </w:p>
        </w:tc>
        <w:tc>
          <w:tcPr>
            <w:tcW w:type="dxa" w:w="9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w:t>
            </w:r>
          </w:p>
        </w:tc>
        <w:tc>
          <w:tcPr>
            <w:tcW w:type="dxa" w:w="2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 homestead complexity. Good tech ecosystem.</w:t>
            </w:r>
          </w:p>
        </w:tc>
      </w:tr>
      <w:tr>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Utah</w:t>
            </w:r>
          </w:p>
        </w:tc>
        <w:tc>
          <w:tcPr>
            <w:tcW w:type="dxa" w:w="9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r>
              <w:rPr>
                <w:rFonts w:ascii="Arial" w:cs="Arial" w:eastAsia="Arial" w:hAnsi="Arial"/>
                <w:b/>
                <w:bCs/>
                <w:color w:val="1E5C3A"/>
                <w:sz w:val="19"/>
                <w:szCs w:val="19"/>
              </w:rPr>
              <w:t xml:space="preserve">HIGH</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Favorable — tech-forward legislature</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Strong — growing RE market</w:t>
            </w:r>
          </w:p>
        </w:tc>
        <w:tc>
          <w:tcPr>
            <w:tcW w:type="dxa" w:w="9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w:t>
            </w:r>
          </w:p>
        </w:tc>
        <w:tc>
          <w:tcPr>
            <w:tcW w:type="dxa" w:w="2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No dedicated framework but receptive environment.</w:t>
            </w:r>
          </w:p>
        </w:tc>
      </w:tr>
      <w:tr>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New York</w:t>
            </w:r>
          </w:p>
        </w:tc>
        <w:tc>
          <w:tcPr>
            <w:tcW w:type="dxa" w:w="900"/>
            <w:tcBorders>
              <w:top w:val="single" w:color="E4E9ED" w:sz="1"/>
              <w:left w:val="single" w:color="E4E9ED" w:sz="1"/>
              <w:bottom w:val="single" w:color="E4E9ED" w:sz="1"/>
              <w:right w:val="single" w:color="E4E9ED" w:sz="1"/>
            </w:tcBorders>
            <w:shd w:fill="F5DCDC" w:val="clear"/>
            <w:tcMar>
              <w:top w:type="dxa" w:w="80"/>
              <w:left w:type="dxa" w:w="120"/>
              <w:bottom w:type="dxa" w:w="80"/>
              <w:right w:type="dxa" w:w="120"/>
            </w:tcMar>
          </w:tcPr>
          <w:p>
            <w:r>
              <w:rPr>
                <w:rFonts w:ascii="Arial" w:cs="Arial" w:eastAsia="Arial" w:hAnsi="Arial"/>
                <w:b/>
                <w:bCs/>
                <w:color w:val="8B2E2E"/>
                <w:sz w:val="19"/>
                <w:szCs w:val="19"/>
              </w:rPr>
              <w:t xml:space="preserve">LOW</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BitLicense regime — expensive and slow</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High value but regulatory cost prohibitive at launch</w:t>
            </w:r>
          </w:p>
        </w:tc>
        <w:tc>
          <w:tcPr>
            <w:tcW w:type="dxa" w:w="9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4</w:t>
            </w:r>
          </w:p>
        </w:tc>
        <w:tc>
          <w:tcPr>
            <w:tcW w:type="dxa" w:w="2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BitLicense adds $100K+ compliance cost. Defer.</w:t>
            </w:r>
          </w:p>
        </w:tc>
      </w:tr>
      <w:tr>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California</w:t>
            </w:r>
          </w:p>
        </w:tc>
        <w:tc>
          <w:tcPr>
            <w:tcW w:type="dxa" w:w="900"/>
            <w:tcBorders>
              <w:top w:val="single" w:color="E4E9ED" w:sz="1"/>
              <w:left w:val="single" w:color="E4E9ED" w:sz="1"/>
              <w:bottom w:val="single" w:color="E4E9ED" w:sz="1"/>
              <w:right w:val="single" w:color="E4E9ED" w:sz="1"/>
            </w:tcBorders>
            <w:shd w:fill="F5DCDC" w:val="clear"/>
            <w:tcMar>
              <w:top w:type="dxa" w:w="80"/>
              <w:left w:type="dxa" w:w="120"/>
              <w:bottom w:type="dxa" w:w="80"/>
              <w:right w:type="dxa" w:w="120"/>
            </w:tcMar>
          </w:tcPr>
          <w:p>
            <w:r>
              <w:rPr>
                <w:rFonts w:ascii="Arial" w:cs="Arial" w:eastAsia="Arial" w:hAnsi="Arial"/>
                <w:b/>
                <w:bCs/>
                <w:color w:val="8B2E2E"/>
                <w:sz w:val="19"/>
                <w:szCs w:val="19"/>
              </w:rPr>
              <w:t xml:space="preserve">LOW</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DFI aggressive posture, community property issues</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Large market, complex execution</w:t>
            </w:r>
          </w:p>
        </w:tc>
        <w:tc>
          <w:tcPr>
            <w:tcW w:type="dxa" w:w="9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4</w:t>
            </w:r>
          </w:p>
        </w:tc>
        <w:tc>
          <w:tcPr>
            <w:tcW w:type="dxa" w:w="2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Prop 13 transfer issues. DFI enforcement history.</w:t>
            </w:r>
          </w:p>
        </w:tc>
      </w:tr>
    </w:tbl>
    <w:p>
      <w:pPr>
        <w:spacing w:after="100" w:before="0"/>
      </w:pPr>
      <w:r>
        <w:t xml:space="preserve"/>
      </w:r>
    </w:p>
    <w:p>
      <w:pPr>
        <w:pBdr>
          <w:bottom w:val="single" w:color="E4E9ED" w:sz="6" w:space="1"/>
        </w:pBdr>
        <w:spacing w:after="200" w:before="200"/>
      </w:pPr>
      <w:r>
        <w:t xml:space="preserve"/>
      </w:r>
    </w:p>
    <w:p>
      <w:pPr>
        <w:pStyle w:val="Heading1"/>
        <w:pBdr>
          <w:bottom w:val="single" w:color="285A44" w:sz="10" w:space="8"/>
        </w:pBdr>
        <w:spacing w:after="120" w:before="400"/>
      </w:pPr>
      <w:r>
        <w:rPr>
          <w:rFonts w:ascii="Arial" w:cs="Arial" w:eastAsia="Arial" w:hAnsi="Arial"/>
          <w:b/>
          <w:bCs/>
          <w:color w:val="18242F"/>
          <w:sz w:val="34"/>
          <w:szCs w:val="34"/>
        </w:rPr>
        <w:t xml:space="preserve">Part 3 — Global Markets: Priority Ranking</w:t>
      </w:r>
    </w:p>
    <w:p>
      <w:pPr>
        <w:pStyle w:val="Heading2"/>
        <w:spacing w:after="100" w:before="300"/>
      </w:pPr>
      <w:r>
        <w:rPr>
          <w:rFonts w:ascii="Arial" w:cs="Arial" w:eastAsia="Arial" w:hAnsi="Arial"/>
          <w:b/>
          <w:bCs/>
          <w:color w:val="285A44"/>
          <w:sz w:val="26"/>
          <w:szCs w:val="26"/>
        </w:rPr>
        <w:t xml:space="preserve">3.1 Global Regulatory Landscape — 2026 State of Play</w:t>
      </w:r>
    </w:p>
    <w:p>
      <w:pPr>
        <w:spacing w:after="100" w:before="60"/>
      </w:pPr>
      <w:r>
        <w:rPr>
          <w:rFonts w:ascii="Arial" w:cs="Arial" w:eastAsia="Arial" w:hAnsi="Arial"/>
          <w:color w:val="1A1A1A"/>
          <w:sz w:val="22"/>
          <w:szCs w:val="22"/>
        </w:rPr>
        <w:t xml:space="preserve">As of April 2026, tokenized real estate globally has surpassed $10 billion in value, with projections of $4 trillion by 2030 (Deloitte, 2025 estimate; 27% CAGR). However, actual verified on-chain tokenized real estate remains below $1 billion on public chains. The gap between projections and reality reflects a market in early institutional adoption — which means DeedFlow has a narrow window to establish first-mover position before the market matures.</w:t>
      </w:r>
    </w:p>
    <w:p>
      <w:pPr>
        <w:spacing w:after="100" w:before="0"/>
      </w:pPr>
      <w:r>
        <w:t xml:space="preserve"/>
      </w:r>
    </w:p>
    <w:tbl>
      <w:tblPr>
        <w:tblW w:type="dxa" w:w="9360"/>
        <w:tblBorders>
          <w:top w:val="single" w:color="B08A26" w:sz="1"/>
          <w:left w:val="single" w:color="B08A26" w:sz="20"/>
          <w:bottom w:val="single" w:color="B08A26" w:sz="1"/>
          <w:right w:val="single" w:color="B08A2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5E8" w:val="clear"/>
            <w:tcMar>
              <w:top w:type="dxa" w:w="160"/>
              <w:left w:type="dxa" w:w="220"/>
              <w:bottom w:type="dxa" w:w="160"/>
              <w:right w:type="dxa" w:w="220"/>
            </w:tcMar>
          </w:tcPr>
          <w:p>
            <w:pPr>
              <w:spacing w:after="60" w:before="0"/>
            </w:pPr>
            <w:r>
              <w:rPr>
                <w:rFonts w:ascii="Arial" w:cs="Arial" w:eastAsia="Arial" w:hAnsi="Arial"/>
                <w:b/>
                <w:bCs/>
                <w:color w:val="B08A26"/>
                <w:sz w:val="20"/>
                <w:szCs w:val="20"/>
              </w:rPr>
              <w:t xml:space="preserve">Critical Distinction for DeedFlow Globally</w:t>
            </w:r>
          </w:p>
          <w:p>
            <w:pPr>
              <w:spacing w:after="0" w:before="0"/>
            </w:pPr>
            <w:r>
              <w:rPr>
                <w:rFonts w:ascii="Arial" w:cs="Arial" w:eastAsia="Arial" w:hAnsi="Arial"/>
                <w:color w:val="1A1A1A"/>
                <w:sz w:val="21"/>
                <w:szCs w:val="21"/>
              </w:rPr>
              <w:t xml:space="preserve">Most global tokenization platforms address INVESTOR-INBOUND structures: bringing outside capital to buy fractional interests in properties. DeedFlow's core innovation — HOMEOWNER-OUTBOUND equity monetization — has minimal global precedent. This is simultaneously a regulatory challenge (no established playbook) and a competitive advantage (no established competitors). The primary home use case will require proactive regulatory engagement in every jurisdiction.</w:t>
            </w:r>
          </w:p>
        </w:tc>
      </w:tr>
    </w:tbl>
    <w:p>
      <w:pPr>
        <w:spacing w:after="100" w:before="0"/>
      </w:pPr>
      <w:r>
        <w:t xml:space="preserve"/>
      </w:r>
    </w:p>
    <w:p>
      <w:pPr>
        <w:pStyle w:val="Heading2"/>
        <w:spacing w:after="100" w:before="300"/>
      </w:pPr>
      <w:r>
        <w:rPr>
          <w:rFonts w:ascii="Arial" w:cs="Arial" w:eastAsia="Arial" w:hAnsi="Arial"/>
          <w:b/>
          <w:bCs/>
          <w:color w:val="285A44"/>
          <w:sz w:val="26"/>
          <w:szCs w:val="26"/>
        </w:rPr>
        <w:t xml:space="preserve">3.2 Global Market Matrix — Occupied &amp; Investment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1800"/>
        <w:gridCol w:w="900"/>
        <w:gridCol w:w="2360"/>
      </w:tblGrid>
      <w:tr>
        <w:tc>
          <w:tcPr>
            <w:tcW w:type="dxa" w:w="16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Market</w:t>
            </w:r>
          </w:p>
        </w:tc>
        <w:tc>
          <w:tcPr>
            <w:tcW w:type="dxa" w:w="9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Rating</w:t>
            </w:r>
          </w:p>
        </w:tc>
        <w:tc>
          <w:tcPr>
            <w:tcW w:type="dxa" w:w="18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Primary Home</w:t>
            </w:r>
          </w:p>
        </w:tc>
        <w:tc>
          <w:tcPr>
            <w:tcW w:type="dxa" w:w="18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Investment Property</w:t>
            </w:r>
          </w:p>
        </w:tc>
        <w:tc>
          <w:tcPr>
            <w:tcW w:type="dxa" w:w="9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36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Key Opportunity</w:t>
            </w:r>
          </w:p>
        </w:tc>
      </w:tr>
      <w:tr>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UAE / Dubai</w:t>
            </w:r>
          </w:p>
        </w:tc>
        <w:tc>
          <w:tcPr>
            <w:tcW w:type="dxa" w:w="9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r>
              <w:rPr>
                <w:rFonts w:ascii="Arial" w:cs="Arial" w:eastAsia="Arial" w:hAnsi="Arial"/>
                <w:b/>
                <w:bCs/>
                <w:color w:val="1E5C3A"/>
                <w:sz w:val="19"/>
                <w:szCs w:val="19"/>
              </w:rPr>
              <w:t xml:space="preserve">VERY HIGH</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Novel — no established homeowner equity product</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Strongest globally — DLD government-backed tokenization, VARA framework, sold out in 24hrs</w:t>
            </w:r>
          </w:p>
        </w:tc>
        <w:tc>
          <w:tcPr>
            <w:tcW w:type="dxa" w:w="9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3</w:t>
            </w:r>
          </w:p>
        </w:tc>
        <w:tc>
          <w:tcPr>
            <w:tcW w:type="dxa" w:w="2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World's most advanced government-backed tokenization program. Natural hedge fund capital gateway.</w:t>
            </w:r>
          </w:p>
        </w:tc>
      </w:tr>
      <w:tr>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Singapore</w:t>
            </w:r>
          </w:p>
        </w:tc>
        <w:tc>
          <w:tcPr>
            <w:tcW w:type="dxa" w:w="9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r>
              <w:rPr>
                <w:rFonts w:ascii="Arial" w:cs="Arial" w:eastAsia="Arial" w:hAnsi="Arial"/>
                <w:b/>
                <w:bCs/>
                <w:color w:val="1E5C3A"/>
                <w:sz w:val="19"/>
                <w:szCs w:val="19"/>
              </w:rPr>
              <w:t xml:space="preserve">HIGH</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Novel — MAS framework sophisticated but homeowner product unstested</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Institutional-grade — Project Guardian, MAS-licensed platforms, JPMorgan/DBS participation</w:t>
            </w:r>
          </w:p>
        </w:tc>
        <w:tc>
          <w:tcPr>
            <w:tcW w:type="dxa" w:w="9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3</w:t>
            </w:r>
          </w:p>
        </w:tc>
        <w:tc>
          <w:tcPr>
            <w:tcW w:type="dxa" w:w="2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Best institutional infrastructure in APAC. Gateway to Southeast Asian capital.</w:t>
            </w:r>
          </w:p>
        </w:tc>
      </w:tr>
      <w:tr>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UK</w:t>
            </w:r>
          </w:p>
        </w:tc>
        <w:tc>
          <w:tcPr>
            <w:tcW w:type="dxa" w:w="9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r>
              <w:rPr>
                <w:rFonts w:ascii="Arial" w:cs="Arial" w:eastAsia="Arial" w:hAnsi="Arial"/>
                <w:b/>
                <w:bCs/>
                <w:color w:val="7A5C14"/>
                <w:sz w:val="19"/>
                <w:szCs w:val="19"/>
              </w:rPr>
              <w:t xml:space="preserve">HIGH</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Digital Securities Sandbox ideal entry point for testing</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Strong — Archax FCA-regulated, deep institutional capital, ESG requirements</w:t>
            </w:r>
          </w:p>
        </w:tc>
        <w:tc>
          <w:tcPr>
            <w:tcW w:type="dxa" w:w="9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2-3</w:t>
            </w:r>
          </w:p>
        </w:tc>
        <w:tc>
          <w:tcPr>
            <w:tcW w:type="dxa" w:w="2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Largest pool of institutional capital outside US. Digital Securities Sandbox reduces entry risk.</w:t>
            </w:r>
          </w:p>
        </w:tc>
      </w:tr>
      <w:tr>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Switzerland</w:t>
            </w:r>
          </w:p>
        </w:tc>
        <w:tc>
          <w:tcPr>
            <w:tcW w:type="dxa" w:w="9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r>
              <w:rPr>
                <w:rFonts w:ascii="Arial" w:cs="Arial" w:eastAsia="Arial" w:hAnsi="Arial"/>
                <w:b/>
                <w:bCs/>
                <w:color w:val="1E5C3A"/>
                <w:sz w:val="19"/>
                <w:szCs w:val="19"/>
              </w:rPr>
              <w:t xml:space="preserve">HIGH</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Clear legal framework — ledger-based securities under CO Articles 973d-i</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Strong — SIX Digital Exchange (SDX), institutional secondary market</w:t>
            </w:r>
          </w:p>
        </w:tc>
        <w:tc>
          <w:tcPr>
            <w:tcW w:type="dxa" w:w="9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3</w:t>
            </w:r>
          </w:p>
        </w:tc>
        <w:tc>
          <w:tcPr>
            <w:tcW w:type="dxa" w:w="2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On-chain transfer equals legal transfer under Swiss law. Legal certainty strongest in Europe.</w:t>
            </w:r>
          </w:p>
        </w:tc>
      </w:tr>
      <w:tr>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Germany</w:t>
            </w:r>
          </w:p>
        </w:tc>
        <w:tc>
          <w:tcPr>
            <w:tcW w:type="dxa" w:w="9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r>
              <w:rPr>
                <w:rFonts w:ascii="Arial" w:cs="Arial" w:eastAsia="Arial" w:hAnsi="Arial"/>
                <w:b/>
                <w:bCs/>
                <w:color w:val="7A5C14"/>
                <w:sz w:val="19"/>
                <w:szCs w:val="19"/>
              </w:rPr>
              <w:t xml:space="preserve">MEDIUM</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eWpG allows tokenized securities — homeowner product unstested</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Developing — institutional appetite growing, MiCA compliance required</w:t>
            </w:r>
          </w:p>
        </w:tc>
        <w:tc>
          <w:tcPr>
            <w:tcW w:type="dxa" w:w="9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4</w:t>
            </w:r>
          </w:p>
        </w:tc>
        <w:tc>
          <w:tcPr>
            <w:tcW w:type="dxa" w:w="2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Largest EU economy. MiCA compliance required — adds cost.</w:t>
            </w:r>
          </w:p>
        </w:tc>
      </w:tr>
      <w:tr>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Canada</w:t>
            </w:r>
          </w:p>
        </w:tc>
        <w:tc>
          <w:tcPr>
            <w:tcW w:type="dxa" w:w="9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r>
              <w:rPr>
                <w:rFonts w:ascii="Arial" w:cs="Arial" w:eastAsia="Arial" w:hAnsi="Arial"/>
                <w:b/>
                <w:bCs/>
                <w:color w:val="7A5C14"/>
                <w:sz w:val="19"/>
                <w:szCs w:val="19"/>
              </w:rPr>
              <w:t xml:space="preserve">MEDIUM</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Provincial securities framework — similar to US Reg D equivalent</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Strong — pension fund ecosystem, mandated RWA allocations</w:t>
            </w:r>
          </w:p>
        </w:tc>
        <w:tc>
          <w:tcPr>
            <w:tcW w:type="dxa" w:w="9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3</w:t>
            </w:r>
          </w:p>
        </w:tc>
        <w:tc>
          <w:tcPr>
            <w:tcW w:type="dxa" w:w="2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Canadian pension funds mandated to allocate to alternatives. Largest institutional demand outside US.</w:t>
            </w:r>
          </w:p>
        </w:tc>
      </w:tr>
      <w:tr>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Hong Kong</w:t>
            </w:r>
          </w:p>
        </w:tc>
        <w:tc>
          <w:tcPr>
            <w:tcW w:type="dxa" w:w="9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r>
              <w:rPr>
                <w:rFonts w:ascii="Arial" w:cs="Arial" w:eastAsia="Arial" w:hAnsi="Arial"/>
                <w:b/>
                <w:bCs/>
                <w:color w:val="7A5C14"/>
                <w:sz w:val="19"/>
                <w:szCs w:val="19"/>
              </w:rPr>
              <w:t xml:space="preserve">MEDIUM</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Novel — SFC limits retail access; primarily professional investors</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Strong institutional — SFC approved first tokenized RE fund Aug 2025</w:t>
            </w:r>
          </w:p>
        </w:tc>
        <w:tc>
          <w:tcPr>
            <w:tcW w:type="dxa" w:w="9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4</w:t>
            </w:r>
          </w:p>
        </w:tc>
        <w:tc>
          <w:tcPr>
            <w:tcW w:type="dxa" w:w="2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China capital gateway. Geopolitical risk from mainland regulatory interference.</w:t>
            </w:r>
          </w:p>
        </w:tc>
      </w:tr>
      <w:tr>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Saudi Arabia</w:t>
            </w:r>
          </w:p>
        </w:tc>
        <w:tc>
          <w:tcPr>
            <w:tcW w:type="dxa" w:w="9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r>
              <w:rPr>
                <w:rFonts w:ascii="Arial" w:cs="Arial" w:eastAsia="Arial" w:hAnsi="Arial"/>
                <w:b/>
                <w:bCs/>
                <w:color w:val="7A5C14"/>
                <w:sz w:val="19"/>
                <w:szCs w:val="19"/>
              </w:rPr>
              <w:t xml:space="preserve">MEDIUM</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Government-driven innovation but framework still developing</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Growing — Vision 2030 real estate investment push</w:t>
            </w:r>
          </w:p>
        </w:tc>
        <w:tc>
          <w:tcPr>
            <w:tcW w:type="dxa" w:w="9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4</w:t>
            </w:r>
          </w:p>
        </w:tc>
        <w:tc>
          <w:tcPr>
            <w:tcW w:type="dxa" w:w="2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Sovereign wealth fund scale. Government appetite for tokenization growing.</w:t>
            </w:r>
          </w:p>
        </w:tc>
      </w:tr>
      <w:tr>
        <w:tc>
          <w:tcPr>
            <w:tcW w:type="dxa" w:w="16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Australia</w:t>
            </w:r>
          </w:p>
        </w:tc>
        <w:tc>
          <w:tcPr>
            <w:tcW w:type="dxa" w:w="9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r>
              <w:rPr>
                <w:rFonts w:ascii="Arial" w:cs="Arial" w:eastAsia="Arial" w:hAnsi="Arial"/>
                <w:b/>
                <w:bCs/>
                <w:color w:val="1E5C3A"/>
                <w:sz w:val="19"/>
                <w:szCs w:val="19"/>
              </w:rPr>
              <w:t xml:space="preserve">MEDIUM</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ASIC digital assets framework developing — sandbox available</w:t>
            </w:r>
          </w:p>
        </w:tc>
        <w:tc>
          <w:tcPr>
            <w:tcW w:type="dxa" w:w="18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Good — strong residential market, high homeownership rate</w:t>
            </w:r>
          </w:p>
        </w:tc>
        <w:tc>
          <w:tcPr>
            <w:tcW w:type="dxa" w:w="9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4</w:t>
            </w:r>
          </w:p>
        </w:tc>
        <w:tc>
          <w:tcPr>
            <w:tcW w:type="dxa" w:w="23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High homeownership culture aligns with primary home product.</w:t>
            </w:r>
          </w:p>
        </w:tc>
      </w:tr>
      <w:tr>
        <w:tc>
          <w:tcPr>
            <w:tcW w:type="dxa" w:w="16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Japan</w:t>
            </w:r>
          </w:p>
        </w:tc>
        <w:tc>
          <w:tcPr>
            <w:tcW w:type="dxa" w:w="9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r>
              <w:rPr>
                <w:rFonts w:ascii="Arial" w:cs="Arial" w:eastAsia="Arial" w:hAnsi="Arial"/>
                <w:b/>
                <w:bCs/>
                <w:color w:val="7A5C14"/>
                <w:sz w:val="19"/>
                <w:szCs w:val="19"/>
              </w:rPr>
              <w:t xml:space="preserve">LOW</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JFSA cautious but developing digital asset framework</w:t>
            </w:r>
          </w:p>
        </w:tc>
        <w:tc>
          <w:tcPr>
            <w:tcW w:type="dxa" w:w="18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Limited — foreign ownership restrictions on real estate</w:t>
            </w:r>
          </w:p>
        </w:tc>
        <w:tc>
          <w:tcPr>
            <w:tcW w:type="dxa" w:w="9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5</w:t>
            </w:r>
          </w:p>
        </w:tc>
        <w:tc>
          <w:tcPr>
            <w:tcW w:type="dxa" w:w="23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val="false"/>
                <w:bCs w:val="false"/>
                <w:color w:val="1A1A1A"/>
                <w:sz w:val="19"/>
                <w:szCs w:val="19"/>
              </w:rPr>
              <w:t xml:space="preserve">Cultural and regulatory barriers high. Long-term opportunity only.</w:t>
            </w:r>
          </w:p>
        </w:tc>
      </w:tr>
    </w:tbl>
    <w:p>
      <w:pPr>
        <w:spacing w:after="100" w:before="0"/>
      </w:pPr>
      <w:r>
        <w:t xml:space="preserve"/>
      </w:r>
    </w:p>
    <w:p>
      <w:pPr>
        <w:pStyle w:val="Heading2"/>
        <w:spacing w:after="100" w:before="300"/>
      </w:pPr>
      <w:r>
        <w:rPr>
          <w:rFonts w:ascii="Arial" w:cs="Arial" w:eastAsia="Arial" w:hAnsi="Arial"/>
          <w:b/>
          <w:bCs/>
          <w:color w:val="285A44"/>
          <w:sz w:val="26"/>
          <w:szCs w:val="26"/>
        </w:rPr>
        <w:t xml:space="preserve">3.3 Deep Dive — UAE / Dubai (Top Global Priority)</w:t>
      </w:r>
    </w:p>
    <w:p>
      <w:pPr>
        <w:pStyle w:val="Heading3"/>
        <w:spacing w:after="80" w:before="220"/>
      </w:pPr>
      <w:r>
        <w:rPr>
          <w:rFonts w:ascii="Arial" w:cs="Arial" w:eastAsia="Arial" w:hAnsi="Arial"/>
          <w:b/>
          <w:bCs/>
          <w:color w:val="18242F"/>
          <w:sz w:val="22"/>
          <w:szCs w:val="22"/>
        </w:rPr>
        <w:t xml:space="preserve">Why Dubai Is DeedFlow's Best International Market</w:t>
      </w:r>
    </w:p>
    <w:p>
      <w:pPr>
        <w:spacing w:after="100" w:before="60"/>
      </w:pPr>
      <w:r>
        <w:rPr>
          <w:rFonts w:ascii="Arial" w:cs="Arial" w:eastAsia="Arial" w:hAnsi="Arial"/>
          <w:color w:val="1A1A1A"/>
          <w:sz w:val="22"/>
          <w:szCs w:val="22"/>
        </w:rPr>
        <w:t xml:space="preserve">Dubai is the only jurisdiction in the world where the government itself has built and operates the tokenization infrastructure. The Dubai Land Department's Real Estate Tokenization Project — launched March 2025 — directly integrates blockchain with property title registration. This is the missing piece everywhere else: connecting the token to the legal title record at the government level.</w:t>
      </w:r>
    </w:p>
    <w:p>
      <w:pPr>
        <w:spacing w:after="10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Dubai's first tokenized property sold out in under 24 hours, attracting 224 investors from 40 countries at an average of AED 10,714 (~$2,900). This is proof of demand at scale.</w:t>
      </w:r>
    </w:p>
    <w:p>
      <w:pPr>
        <w:pStyle w:val="ListParagraph"/>
        <w:numPr>
          <w:ilvl w:val="0"/>
          <w:numId w:val="2"/>
        </w:numPr>
        <w:spacing w:after="40" w:before="40"/>
      </w:pPr>
      <w:r>
        <w:rPr>
          <w:rFonts w:ascii="Arial" w:cs="Arial" w:eastAsia="Arial" w:hAnsi="Arial"/>
          <w:color w:val="1A1A1A"/>
          <w:sz w:val="22"/>
          <w:szCs w:val="22"/>
        </w:rPr>
        <w:t xml:space="preserve">VARA (Virtual Assets Regulatory Authority) provides comprehensive licensing for tokenization platforms — clearest regulatory path outside Wyoming.</w:t>
      </w:r>
    </w:p>
    <w:p>
      <w:pPr>
        <w:pStyle w:val="ListParagraph"/>
        <w:numPr>
          <w:ilvl w:val="0"/>
          <w:numId w:val="2"/>
        </w:numPr>
        <w:spacing w:after="40" w:before="40"/>
      </w:pPr>
      <w:r>
        <w:rPr>
          <w:rFonts w:ascii="Arial" w:cs="Arial" w:eastAsia="Arial" w:hAnsi="Arial"/>
          <w:color w:val="1A1A1A"/>
          <w:sz w:val="22"/>
          <w:szCs w:val="22"/>
        </w:rPr>
        <w:t xml:space="preserve">DIFC and ADGM free zones offer specialized SPV and digital securities frameworks with no capital gains tax and no income tax on individuals.</w:t>
      </w:r>
    </w:p>
    <w:p>
      <w:pPr>
        <w:pStyle w:val="ListParagraph"/>
        <w:numPr>
          <w:ilvl w:val="0"/>
          <w:numId w:val="2"/>
        </w:numPr>
        <w:spacing w:after="40" w:before="40"/>
      </w:pPr>
      <w:r>
        <w:rPr>
          <w:rFonts w:ascii="Arial" w:cs="Arial" w:eastAsia="Arial" w:hAnsi="Arial"/>
          <w:color w:val="1A1A1A"/>
          <w:sz w:val="22"/>
          <w:szCs w:val="22"/>
        </w:rPr>
        <w:t xml:space="preserve">DAMAC signed a $1 billion tokenization deal with MANTRA in 2025 — institutional scale validation.</w:t>
      </w:r>
    </w:p>
    <w:p>
      <w:pPr>
        <w:pStyle w:val="ListParagraph"/>
        <w:numPr>
          <w:ilvl w:val="0"/>
          <w:numId w:val="2"/>
        </w:numPr>
        <w:spacing w:after="40" w:before="40"/>
      </w:pPr>
      <w:r>
        <w:rPr>
          <w:rFonts w:ascii="Arial" w:cs="Arial" w:eastAsia="Arial" w:hAnsi="Arial"/>
          <w:color w:val="1A1A1A"/>
          <w:sz w:val="22"/>
          <w:szCs w:val="22"/>
        </w:rPr>
        <w:t xml:space="preserve">UAE has no property capital gains tax — tokenized appreciation gain is tax-efficient.</w:t>
      </w:r>
    </w:p>
    <w:p>
      <w:pPr>
        <w:spacing w:after="100" w:before="0"/>
      </w:pPr>
      <w:r>
        <w:t xml:space="preserve"/>
      </w:r>
    </w:p>
    <w:p>
      <w:pPr>
        <w:pStyle w:val="Heading3"/>
        <w:spacing w:after="80" w:before="220"/>
      </w:pPr>
      <w:r>
        <w:rPr>
          <w:rFonts w:ascii="Arial" w:cs="Arial" w:eastAsia="Arial" w:hAnsi="Arial"/>
          <w:b/>
          <w:bCs/>
          <w:color w:val="18242F"/>
          <w:sz w:val="22"/>
          <w:szCs w:val="22"/>
        </w:rPr>
        <w:t xml:space="preserve">Investment Property in Dubai — Triple Stack Analysis</w:t>
      </w:r>
    </w:p>
    <w:p>
      <w:pPr>
        <w:spacing w:after="100" w:before="60"/>
      </w:pPr>
      <w:r>
        <w:rPr>
          <w:rFonts w:ascii="Arial" w:cs="Arial" w:eastAsia="Arial" w:hAnsi="Arial"/>
          <w:color w:val="1A1A1A"/>
          <w:sz w:val="22"/>
          <w:szCs w:val="22"/>
        </w:rPr>
        <w:t xml:space="preserve">An investment property in Dubai tokenized through DeedFlow would generate: rental yields of 6-8% (among the highest globally), fund yields on pledged equity, and appreciation (Dubai property appreciated 15%+ in 2024). The triple-stack model produces exceptional ROI in this market.</w:t>
      </w:r>
    </w:p>
    <w:p>
      <w:pPr>
        <w:spacing w:after="100" w:before="0"/>
      </w:pPr>
      <w:r>
        <w:t xml:space="preserve"/>
      </w:r>
    </w:p>
    <w:tbl>
      <w:tblPr>
        <w:tblW w:type="dxa" w:w="9360"/>
        <w:tblBorders>
          <w:top w:val="single" w:color="B08A26" w:sz="1"/>
          <w:left w:val="single" w:color="B08A26" w:sz="20"/>
          <w:bottom w:val="single" w:color="B08A26" w:sz="1"/>
          <w:right w:val="single" w:color="B08A2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5E8" w:val="clear"/>
            <w:tcMar>
              <w:top w:type="dxa" w:w="160"/>
              <w:left w:type="dxa" w:w="220"/>
              <w:bottom w:type="dxa" w:w="160"/>
              <w:right w:type="dxa" w:w="220"/>
            </w:tcMar>
          </w:tcPr>
          <w:p>
            <w:pPr>
              <w:spacing w:after="60" w:before="0"/>
            </w:pPr>
            <w:r>
              <w:rPr>
                <w:rFonts w:ascii="Arial" w:cs="Arial" w:eastAsia="Arial" w:hAnsi="Arial"/>
                <w:b/>
                <w:bCs/>
                <w:color w:val="B08A26"/>
                <w:sz w:val="20"/>
                <w:szCs w:val="20"/>
              </w:rPr>
              <w:t xml:space="preserve">Dubai Opportunity Specifics</w:t>
            </w:r>
          </w:p>
          <w:p>
            <w:pPr>
              <w:spacing w:after="0" w:before="0"/>
            </w:pPr>
            <w:r>
              <w:rPr>
                <w:rFonts w:ascii="Arial" w:cs="Arial" w:eastAsia="Arial" w:hAnsi="Arial"/>
                <w:color w:val="1A1A1A"/>
                <w:sz w:val="21"/>
                <w:szCs w:val="21"/>
              </w:rPr>
              <w:t xml:space="preserve">DAMAC, Emaar, and Nakheel are all exploring tokenization of their residential inventory. DeedFlow's investment property product — enabling buyers to tokenize at purchase and immediately start earning fund yield on their down payment equity — is perfectly timed for the Dubai off-plan market, where buyers often pay 20-40% down and wait 2-3 years for completion. That dormant equity is DeedFlow's target.</w:t>
            </w:r>
          </w:p>
        </w:tc>
      </w:tr>
    </w:tbl>
    <w:p>
      <w:pPr>
        <w:spacing w:after="100" w:before="0"/>
      </w:pPr>
      <w:r>
        <w:t xml:space="preserve"/>
      </w:r>
    </w:p>
    <w:p>
      <w:pPr>
        <w:pStyle w:val="Heading2"/>
        <w:spacing w:after="100" w:before="300"/>
      </w:pPr>
      <w:r>
        <w:rPr>
          <w:rFonts w:ascii="Arial" w:cs="Arial" w:eastAsia="Arial" w:hAnsi="Arial"/>
          <w:b/>
          <w:bCs/>
          <w:color w:val="285A44"/>
          <w:sz w:val="26"/>
          <w:szCs w:val="26"/>
        </w:rPr>
        <w:t xml:space="preserve">3.4 Deep Dive — Singapore (Best APAC Institutional Market)</w:t>
      </w:r>
    </w:p>
    <w:p>
      <w:pPr>
        <w:spacing w:after="100" w:before="60"/>
      </w:pPr>
      <w:r>
        <w:rPr>
          <w:rFonts w:ascii="Arial" w:cs="Arial" w:eastAsia="Arial" w:hAnsi="Arial"/>
          <w:color w:val="1A1A1A"/>
          <w:sz w:val="22"/>
          <w:szCs w:val="22"/>
        </w:rPr>
        <w:t xml:space="preserve">Singapore's MAS Project Guardian — run in partnership with JPMorgan, DBS, Standard Chartered, and HSBC — has validated tokenized real estate structures through live pilots with major banks. The Payment Services Act provides a clear licensing path. Singapore is the institutional capital gateway to Southeast Asia.</w:t>
      </w:r>
    </w:p>
    <w:p>
      <w:pPr>
        <w:spacing w:after="10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MAS classified real estate security tokens as capital markets products — clear regulatory category.</w:t>
      </w:r>
    </w:p>
    <w:p>
      <w:pPr>
        <w:pStyle w:val="ListParagraph"/>
        <w:numPr>
          <w:ilvl w:val="0"/>
          <w:numId w:val="2"/>
        </w:numPr>
        <w:spacing w:after="40" w:before="40"/>
      </w:pPr>
      <w:r>
        <w:rPr>
          <w:rFonts w:ascii="Arial" w:cs="Arial" w:eastAsia="Arial" w:hAnsi="Arial"/>
          <w:color w:val="1A1A1A"/>
          <w:sz w:val="22"/>
          <w:szCs w:val="22"/>
        </w:rPr>
        <w:t xml:space="preserve">Accredited investor threshold: SGD 2M net assets or SGD 300K annual income. Aligns with high-value homeowner target.</w:t>
      </w:r>
    </w:p>
    <w:p>
      <w:pPr>
        <w:pStyle w:val="ListParagraph"/>
        <w:numPr>
          <w:ilvl w:val="0"/>
          <w:numId w:val="2"/>
        </w:numPr>
        <w:spacing w:after="40" w:before="40"/>
      </w:pPr>
      <w:r>
        <w:rPr>
          <w:rFonts w:ascii="Arial" w:cs="Arial" w:eastAsia="Arial" w:hAnsi="Arial"/>
          <w:color w:val="1A1A1A"/>
          <w:sz w:val="22"/>
          <w:szCs w:val="22"/>
        </w:rPr>
        <w:t xml:space="preserve">Rental yields for prime residential: 3.5-5%. Commercial: 5-7%. Hospitality: 6-8%.</w:t>
      </w:r>
    </w:p>
    <w:p>
      <w:pPr>
        <w:pStyle w:val="ListParagraph"/>
        <w:numPr>
          <w:ilvl w:val="0"/>
          <w:numId w:val="2"/>
        </w:numPr>
        <w:spacing w:after="40" w:before="40"/>
      </w:pPr>
      <w:r>
        <w:rPr>
          <w:rFonts w:ascii="Arial" w:cs="Arial" w:eastAsia="Arial" w:hAnsi="Arial"/>
          <w:color w:val="1A1A1A"/>
          <w:sz w:val="22"/>
          <w:szCs w:val="22"/>
        </w:rPr>
        <w:t xml:space="preserve">Capital appreciation: 3-6% annually for well-located properties.</w:t>
      </w:r>
    </w:p>
    <w:p>
      <w:pPr>
        <w:pStyle w:val="ListParagraph"/>
        <w:numPr>
          <w:ilvl w:val="0"/>
          <w:numId w:val="2"/>
        </w:numPr>
        <w:spacing w:after="40" w:before="40"/>
      </w:pPr>
      <w:r>
        <w:rPr>
          <w:rFonts w:ascii="Arial" w:cs="Arial" w:eastAsia="Arial" w:hAnsi="Arial"/>
          <w:color w:val="1A1A1A"/>
          <w:sz w:val="22"/>
          <w:szCs w:val="22"/>
        </w:rPr>
        <w:t xml:space="preserve">HSBC and Standard Chartered both have tokenized real estate on roadmap for Singapore launch — institutional validation.</w:t>
      </w:r>
    </w:p>
    <w:p>
      <w:pPr>
        <w:spacing w:after="100" w:before="0"/>
      </w:pPr>
      <w:r>
        <w:t xml:space="preserve"/>
      </w:r>
    </w:p>
    <w:p>
      <w:pPr>
        <w:pStyle w:val="Heading2"/>
        <w:spacing w:after="100" w:before="300"/>
      </w:pPr>
      <w:r>
        <w:rPr>
          <w:rFonts w:ascii="Arial" w:cs="Arial" w:eastAsia="Arial" w:hAnsi="Arial"/>
          <w:b/>
          <w:bCs/>
          <w:color w:val="285A44"/>
          <w:sz w:val="26"/>
          <w:szCs w:val="26"/>
        </w:rPr>
        <w:t xml:space="preserve">3.5 Deep Dive — UK (Phase 2-3 Expansion)</w:t>
      </w:r>
    </w:p>
    <w:p>
      <w:pPr>
        <w:spacing w:after="100" w:before="60"/>
      </w:pPr>
      <w:r>
        <w:rPr>
          <w:rFonts w:ascii="Arial" w:cs="Arial" w:eastAsia="Arial" w:hAnsi="Arial"/>
          <w:color w:val="1A1A1A"/>
          <w:sz w:val="22"/>
          <w:szCs w:val="22"/>
        </w:rPr>
        <w:t xml:space="preserve">The UK's Digital Securities Sandbox (DSS), operated jointly by the Bank of England and FCA, is the ideal entry mechanism for DeedFlow in the UK. The DSS allows firms to test tokenization projects in a regulated environment without full registration — exactly right for a novel product structure.</w:t>
      </w:r>
    </w:p>
    <w:p>
      <w:pPr>
        <w:spacing w:after="10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UK Cryptoassets Regulations 2026 enacted February 2026 — comprehensive statutory framework now in place.</w:t>
      </w:r>
    </w:p>
    <w:p>
      <w:pPr>
        <w:pStyle w:val="ListParagraph"/>
        <w:numPr>
          <w:ilvl w:val="0"/>
          <w:numId w:val="2"/>
        </w:numPr>
        <w:spacing w:after="40" w:before="40"/>
      </w:pPr>
      <w:r>
        <w:rPr>
          <w:rFonts w:ascii="Arial" w:cs="Arial" w:eastAsia="Arial" w:hAnsi="Arial"/>
          <w:color w:val="1A1A1A"/>
          <w:sz w:val="22"/>
          <w:szCs w:val="22"/>
        </w:rPr>
        <w:t xml:space="preserve">FCA technology-neutral approach: tokenized fund units treated as equivalent to conventional securities.</w:t>
      </w:r>
    </w:p>
    <w:p>
      <w:pPr>
        <w:pStyle w:val="ListParagraph"/>
        <w:numPr>
          <w:ilvl w:val="0"/>
          <w:numId w:val="2"/>
        </w:numPr>
        <w:spacing w:after="40" w:before="40"/>
      </w:pPr>
      <w:r>
        <w:rPr>
          <w:rFonts w:ascii="Arial" w:cs="Arial" w:eastAsia="Arial" w:hAnsi="Arial"/>
          <w:color w:val="1A1A1A"/>
          <w:sz w:val="22"/>
          <w:szCs w:val="22"/>
        </w:rPr>
        <w:t xml:space="preserve">Small offering exemption: up to GBP 8M without full FCA approval.</w:t>
      </w:r>
    </w:p>
    <w:p>
      <w:pPr>
        <w:pStyle w:val="ListParagraph"/>
        <w:numPr>
          <w:ilvl w:val="0"/>
          <w:numId w:val="2"/>
        </w:numPr>
        <w:spacing w:after="40" w:before="40"/>
      </w:pPr>
      <w:r>
        <w:rPr>
          <w:rFonts w:ascii="Arial" w:cs="Arial" w:eastAsia="Arial" w:hAnsi="Arial"/>
          <w:color w:val="1A1A1A"/>
          <w:sz w:val="22"/>
          <w:szCs w:val="22"/>
        </w:rPr>
        <w:t xml:space="preserve">Archax (FCA-regulated exchange, broker, custodian) provides secondary market infrastructure.</w:t>
      </w:r>
    </w:p>
    <w:p>
      <w:pPr>
        <w:pStyle w:val="ListParagraph"/>
        <w:numPr>
          <w:ilvl w:val="0"/>
          <w:numId w:val="2"/>
        </w:numPr>
        <w:spacing w:after="40" w:before="40"/>
      </w:pPr>
      <w:r>
        <w:rPr>
          <w:rFonts w:ascii="Arial" w:cs="Arial" w:eastAsia="Arial" w:hAnsi="Arial"/>
          <w:color w:val="1A1A1A"/>
          <w:sz w:val="22"/>
          <w:szCs w:val="22"/>
        </w:rPr>
        <w:t xml:space="preserve">UK does not have the US reverse mortgage market equivalent — but equity release products (similar structural problems) are widespread. DeedFlow's product translates directly.</w:t>
      </w:r>
    </w:p>
    <w:p>
      <w:pPr>
        <w:spacing w:after="100" w:before="0"/>
      </w:pPr>
      <w:r>
        <w:t xml:space="preserve"/>
      </w:r>
    </w:p>
    <w:p>
      <w:pPr>
        <w:pBdr>
          <w:bottom w:val="single" w:color="E4E9ED" w:sz="6" w:space="1"/>
        </w:pBdr>
        <w:spacing w:after="200" w:before="200"/>
      </w:pPr>
      <w:r>
        <w:t xml:space="preserve"/>
      </w:r>
    </w:p>
    <w:p>
      <w:pPr>
        <w:pStyle w:val="Heading1"/>
        <w:pBdr>
          <w:bottom w:val="single" w:color="285A44" w:sz="10" w:space="8"/>
        </w:pBdr>
        <w:spacing w:after="120" w:before="400"/>
      </w:pPr>
      <w:r>
        <w:rPr>
          <w:rFonts w:ascii="Arial" w:cs="Arial" w:eastAsia="Arial" w:hAnsi="Arial"/>
          <w:b/>
          <w:bCs/>
          <w:color w:val="18242F"/>
          <w:sz w:val="34"/>
          <w:szCs w:val="34"/>
        </w:rPr>
        <w:t xml:space="preserve">Part 4 — Phased Compliance Roadmap</w:t>
      </w:r>
    </w:p>
    <w:p>
      <w:pPr>
        <w:pStyle w:val="Heading2"/>
        <w:spacing w:after="100" w:before="300"/>
      </w:pPr>
      <w:r>
        <w:rPr>
          <w:rFonts w:ascii="Arial" w:cs="Arial" w:eastAsia="Arial" w:hAnsi="Arial"/>
          <w:b/>
          <w:bCs/>
          <w:color w:val="285A44"/>
          <w:sz w:val="26"/>
          <w:szCs w:val="26"/>
        </w:rPr>
        <w:t xml:space="preserve">Phase 1: Wyoming Launch (Months 0-12)</w:t>
      </w:r>
    </w:p>
    <w:p>
      <w:pPr>
        <w:pStyle w:val="ListParagraph"/>
        <w:numPr>
          <w:ilvl w:val="0"/>
          <w:numId w:val="2"/>
        </w:numPr>
        <w:spacing w:after="40" w:before="40"/>
      </w:pPr>
      <w:r>
        <w:rPr>
          <w:rFonts w:ascii="Arial" w:cs="Arial" w:eastAsia="Arial" w:hAnsi="Arial"/>
          <w:color w:val="1A1A1A"/>
          <w:sz w:val="22"/>
          <w:szCs w:val="22"/>
        </w:rPr>
        <w:t xml:space="preserve">SEC: Reg D 506(c) offering documents. Verify accredited investor status for all participants.</w:t>
      </w:r>
    </w:p>
    <w:p>
      <w:pPr>
        <w:pStyle w:val="ListParagraph"/>
        <w:numPr>
          <w:ilvl w:val="0"/>
          <w:numId w:val="2"/>
        </w:numPr>
        <w:spacing w:after="40" w:before="40"/>
      </w:pPr>
      <w:r>
        <w:rPr>
          <w:rFonts w:ascii="Arial" w:cs="Arial" w:eastAsia="Arial" w:hAnsi="Arial"/>
          <w:color w:val="1A1A1A"/>
          <w:sz w:val="22"/>
          <w:szCs w:val="22"/>
        </w:rPr>
        <w:t xml:space="preserve">Investment Adviser: Wyoming state IA registration before accepting fund capital.</w:t>
      </w:r>
    </w:p>
    <w:p>
      <w:pPr>
        <w:pStyle w:val="ListParagraph"/>
        <w:numPr>
          <w:ilvl w:val="0"/>
          <w:numId w:val="2"/>
        </w:numPr>
        <w:spacing w:after="40" w:before="40"/>
      </w:pPr>
      <w:r>
        <w:rPr>
          <w:rFonts w:ascii="Arial" w:cs="Arial" w:eastAsia="Arial" w:hAnsi="Arial"/>
          <w:color w:val="1A1A1A"/>
          <w:sz w:val="22"/>
          <w:szCs w:val="22"/>
        </w:rPr>
        <w:t xml:space="preserve">Wyoming Real Estate Counsel: Due-on-sale analysis, lender consent framework, title company partnership.</w:t>
      </w:r>
    </w:p>
    <w:p>
      <w:pPr>
        <w:pStyle w:val="ListParagraph"/>
        <w:numPr>
          <w:ilvl w:val="0"/>
          <w:numId w:val="2"/>
        </w:numPr>
        <w:spacing w:after="40" w:before="40"/>
      </w:pPr>
      <w:r>
        <w:rPr>
          <w:rFonts w:ascii="Arial" w:cs="Arial" w:eastAsia="Arial" w:hAnsi="Arial"/>
          <w:color w:val="1A1A1A"/>
          <w:sz w:val="22"/>
          <w:szCs w:val="22"/>
        </w:rPr>
        <w:t xml:space="preserve">BSA/AML: Full CIP/CDD/SAR/OFAC compliance program before first customer. Blockchain analytics vendor (Chainalysis or Elliptic).</w:t>
      </w:r>
    </w:p>
    <w:p>
      <w:pPr>
        <w:pStyle w:val="ListParagraph"/>
        <w:numPr>
          <w:ilvl w:val="0"/>
          <w:numId w:val="2"/>
        </w:numPr>
        <w:spacing w:after="40" w:before="40"/>
      </w:pPr>
      <w:r>
        <w:rPr>
          <w:rFonts w:ascii="Arial" w:cs="Arial" w:eastAsia="Arial" w:hAnsi="Arial"/>
          <w:color w:val="1A1A1A"/>
          <w:sz w:val="22"/>
          <w:szCs w:val="22"/>
        </w:rPr>
        <w:t xml:space="preserve">FinTech Sandbox: Apply for Wyoming regulatory sandbox waiver for primary home tokenization pilot.</w:t>
      </w:r>
    </w:p>
    <w:p>
      <w:pPr>
        <w:pStyle w:val="ListParagraph"/>
        <w:numPr>
          <w:ilvl w:val="0"/>
          <w:numId w:val="2"/>
        </w:numPr>
        <w:spacing w:after="40" w:before="40"/>
      </w:pPr>
      <w:r>
        <w:rPr>
          <w:rFonts w:ascii="Arial" w:cs="Arial" w:eastAsia="Arial" w:hAnsi="Arial"/>
          <w:color w:val="1A1A1A"/>
          <w:sz w:val="22"/>
          <w:szCs w:val="22"/>
        </w:rPr>
        <w:t xml:space="preserve">SPDI Partnership: Evaluate Two Ocean Trust or Custodia Bank for token custody.</w:t>
      </w:r>
    </w:p>
    <w:p>
      <w:pPr>
        <w:pStyle w:val="ListParagraph"/>
        <w:numPr>
          <w:ilvl w:val="0"/>
          <w:numId w:val="2"/>
        </w:numPr>
        <w:spacing w:after="40" w:before="40"/>
      </w:pPr>
      <w:r>
        <w:rPr>
          <w:rFonts w:ascii="Arial" w:cs="Arial" w:eastAsia="Arial" w:hAnsi="Arial"/>
          <w:color w:val="1A1A1A"/>
          <w:sz w:val="22"/>
          <w:szCs w:val="22"/>
        </w:rPr>
        <w:t xml:space="preserve">CFPB: Informal outreach to Office of Innovation before marketing reverse mortgage alternative.</w:t>
      </w:r>
    </w:p>
    <w:p>
      <w:pPr>
        <w:spacing w:after="100" w:before="0"/>
      </w:pPr>
      <w:r>
        <w:t xml:space="preserve"/>
      </w:r>
    </w:p>
    <w:p>
      <w:pPr>
        <w:pStyle w:val="Heading2"/>
        <w:spacing w:after="100" w:before="300"/>
      </w:pPr>
      <w:r>
        <w:rPr>
          <w:rFonts w:ascii="Arial" w:cs="Arial" w:eastAsia="Arial" w:hAnsi="Arial"/>
          <w:b/>
          <w:bCs/>
          <w:color w:val="285A44"/>
          <w:sz w:val="26"/>
          <w:szCs w:val="26"/>
        </w:rPr>
        <w:t xml:space="preserve">Phase 2: U.S. Multi-State + UK Sandbox (Months 12-36)</w:t>
      </w:r>
    </w:p>
    <w:p>
      <w:pPr>
        <w:pStyle w:val="ListParagraph"/>
        <w:numPr>
          <w:ilvl w:val="0"/>
          <w:numId w:val="2"/>
        </w:numPr>
        <w:spacing w:after="40" w:before="40"/>
      </w:pPr>
      <w:r>
        <w:rPr>
          <w:rFonts w:ascii="Arial" w:cs="Arial" w:eastAsia="Arial" w:hAnsi="Arial"/>
          <w:color w:val="1A1A1A"/>
          <w:sz w:val="22"/>
          <w:szCs w:val="22"/>
        </w:rPr>
        <w:t xml:space="preserve">Reg A+: Begin SEC qualification process. 3-6 months. Opens non-accredited investor access.</w:t>
      </w:r>
    </w:p>
    <w:p>
      <w:pPr>
        <w:pStyle w:val="ListParagraph"/>
        <w:numPr>
          <w:ilvl w:val="0"/>
          <w:numId w:val="2"/>
        </w:numPr>
        <w:spacing w:after="40" w:before="40"/>
      </w:pPr>
      <w:r>
        <w:rPr>
          <w:rFonts w:ascii="Arial" w:cs="Arial" w:eastAsia="Arial" w:hAnsi="Arial"/>
          <w:color w:val="1A1A1A"/>
          <w:sz w:val="22"/>
          <w:szCs w:val="22"/>
        </w:rPr>
        <w:t xml:space="preserve">Federal IA Registration: As AUM crosses $110M threshold.</w:t>
      </w:r>
    </w:p>
    <w:p>
      <w:pPr>
        <w:pStyle w:val="ListParagraph"/>
        <w:numPr>
          <w:ilvl w:val="0"/>
          <w:numId w:val="2"/>
        </w:numPr>
        <w:spacing w:after="40" w:before="40"/>
      </w:pPr>
      <w:r>
        <w:rPr>
          <w:rFonts w:ascii="Arial" w:cs="Arial" w:eastAsia="Arial" w:hAnsi="Arial"/>
          <w:color w:val="1A1A1A"/>
          <w:sz w:val="22"/>
          <w:szCs w:val="22"/>
        </w:rPr>
        <w:t xml:space="preserve">Nevada, Colorado, Utah: State-specific real estate counsel. Launch in these markets.</w:t>
      </w:r>
    </w:p>
    <w:p>
      <w:pPr>
        <w:pStyle w:val="ListParagraph"/>
        <w:numPr>
          <w:ilvl w:val="0"/>
          <w:numId w:val="2"/>
        </w:numPr>
        <w:spacing w:after="40" w:before="40"/>
      </w:pPr>
      <w:r>
        <w:rPr>
          <w:rFonts w:ascii="Arial" w:cs="Arial" w:eastAsia="Arial" w:hAnsi="Arial"/>
          <w:color w:val="1A1A1A"/>
          <w:sz w:val="22"/>
          <w:szCs w:val="22"/>
        </w:rPr>
        <w:t xml:space="preserve">Texas, Florida: Homestead analysis. Launch if legal opinion supports structure.</w:t>
      </w:r>
    </w:p>
    <w:p>
      <w:pPr>
        <w:pStyle w:val="ListParagraph"/>
        <w:numPr>
          <w:ilvl w:val="0"/>
          <w:numId w:val="2"/>
        </w:numPr>
        <w:spacing w:after="40" w:before="40"/>
      </w:pPr>
      <w:r>
        <w:rPr>
          <w:rFonts w:ascii="Arial" w:cs="Arial" w:eastAsia="Arial" w:hAnsi="Arial"/>
          <w:color w:val="1A1A1A"/>
          <w:sz w:val="22"/>
          <w:szCs w:val="22"/>
        </w:rPr>
        <w:t xml:space="preserve">UK: Apply for Digital Securities Sandbox placement. Low-risk entry for novel product testing.</w:t>
      </w:r>
    </w:p>
    <w:p>
      <w:pPr>
        <w:pStyle w:val="ListParagraph"/>
        <w:numPr>
          <w:ilvl w:val="0"/>
          <w:numId w:val="2"/>
        </w:numPr>
        <w:spacing w:after="40" w:before="40"/>
      </w:pPr>
      <w:r>
        <w:rPr>
          <w:rFonts w:ascii="Arial" w:cs="Arial" w:eastAsia="Arial" w:hAnsi="Arial"/>
          <w:color w:val="1A1A1A"/>
          <w:sz w:val="22"/>
          <w:szCs w:val="22"/>
        </w:rPr>
        <w:t xml:space="preserve">ATS Registration: Evaluate direct FINRA membership vs. continued BD partnership for marketplace.</w:t>
      </w:r>
    </w:p>
    <w:p>
      <w:pPr>
        <w:spacing w:after="100" w:before="0"/>
      </w:pPr>
      <w:r>
        <w:t xml:space="preserve"/>
      </w:r>
    </w:p>
    <w:p>
      <w:pPr>
        <w:pStyle w:val="Heading2"/>
        <w:spacing w:after="100" w:before="300"/>
      </w:pPr>
      <w:r>
        <w:rPr>
          <w:rFonts w:ascii="Arial" w:cs="Arial" w:eastAsia="Arial" w:hAnsi="Arial"/>
          <w:b/>
          <w:bCs/>
          <w:color w:val="285A44"/>
          <w:sz w:val="26"/>
          <w:szCs w:val="26"/>
        </w:rPr>
        <w:t xml:space="preserve">Phase 3: UAE + Singapore (Months 24-48)</w:t>
      </w:r>
    </w:p>
    <w:p>
      <w:pPr>
        <w:pStyle w:val="ListParagraph"/>
        <w:numPr>
          <w:ilvl w:val="0"/>
          <w:numId w:val="2"/>
        </w:numPr>
        <w:spacing w:after="40" w:before="40"/>
      </w:pPr>
      <w:r>
        <w:rPr>
          <w:rFonts w:ascii="Arial" w:cs="Arial" w:eastAsia="Arial" w:hAnsi="Arial"/>
          <w:color w:val="1A1A1A"/>
          <w:sz w:val="22"/>
          <w:szCs w:val="22"/>
        </w:rPr>
        <w:t xml:space="preserve">UAE: VARA licensing for tokenization platform. DIFC or ADGM entity structure. Partner with Dubai Land Department where possible.</w:t>
      </w:r>
    </w:p>
    <w:p>
      <w:pPr>
        <w:pStyle w:val="ListParagraph"/>
        <w:numPr>
          <w:ilvl w:val="0"/>
          <w:numId w:val="2"/>
        </w:numPr>
        <w:spacing w:after="40" w:before="40"/>
      </w:pPr>
      <w:r>
        <w:rPr>
          <w:rFonts w:ascii="Arial" w:cs="Arial" w:eastAsia="Arial" w:hAnsi="Arial"/>
          <w:color w:val="1A1A1A"/>
          <w:sz w:val="22"/>
          <w:szCs w:val="22"/>
        </w:rPr>
        <w:t xml:space="preserve">Singapore: MAS Payment Services Act licensing. Partner with MAS-approved platform.</w:t>
      </w:r>
    </w:p>
    <w:p>
      <w:pPr>
        <w:pStyle w:val="ListParagraph"/>
        <w:numPr>
          <w:ilvl w:val="0"/>
          <w:numId w:val="2"/>
        </w:numPr>
        <w:spacing w:after="40" w:before="40"/>
      </w:pPr>
      <w:r>
        <w:rPr>
          <w:rFonts w:ascii="Arial" w:cs="Arial" w:eastAsia="Arial" w:hAnsi="Arial"/>
          <w:color w:val="1A1A1A"/>
          <w:sz w:val="22"/>
          <w:szCs w:val="22"/>
        </w:rPr>
        <w:t xml:space="preserve">Canada: Engage Canadian Securities Administrators. Provincial securities framework similar to Reg D.</w:t>
      </w:r>
    </w:p>
    <w:p>
      <w:pPr>
        <w:pStyle w:val="ListParagraph"/>
        <w:numPr>
          <w:ilvl w:val="0"/>
          <w:numId w:val="2"/>
        </w:numPr>
        <w:spacing w:after="40" w:before="40"/>
      </w:pPr>
      <w:r>
        <w:rPr>
          <w:rFonts w:ascii="Arial" w:cs="Arial" w:eastAsia="Arial" w:hAnsi="Arial"/>
          <w:color w:val="1A1A1A"/>
          <w:sz w:val="22"/>
          <w:szCs w:val="22"/>
        </w:rPr>
        <w:t xml:space="preserve">Switzerland: Evaluate ledger-based security structure under CO Articles 973d-i for European expansion bridge.</w:t>
      </w:r>
    </w:p>
    <w:p>
      <w:pPr>
        <w:spacing w:after="100" w:before="0"/>
      </w:pPr>
      <w:r>
        <w:t xml:space="preserve"/>
      </w:r>
    </w:p>
    <w:p>
      <w:pPr>
        <w:pStyle w:val="Heading2"/>
        <w:spacing w:after="100" w:before="300"/>
      </w:pPr>
      <w:r>
        <w:rPr>
          <w:rFonts w:ascii="Arial" w:cs="Arial" w:eastAsia="Arial" w:hAnsi="Arial"/>
          <w:b/>
          <w:bCs/>
          <w:color w:val="285A44"/>
          <w:sz w:val="26"/>
          <w:szCs w:val="26"/>
        </w:rPr>
        <w:t xml:space="preserve">Phase 4: Global Platform (Months 48+)</w:t>
      </w:r>
    </w:p>
    <w:p>
      <w:pPr>
        <w:pStyle w:val="ListParagraph"/>
        <w:numPr>
          <w:ilvl w:val="0"/>
          <w:numId w:val="2"/>
        </w:numPr>
        <w:spacing w:after="40" w:before="40"/>
      </w:pPr>
      <w:r>
        <w:rPr>
          <w:rFonts w:ascii="Arial" w:cs="Arial" w:eastAsia="Arial" w:hAnsi="Arial"/>
          <w:color w:val="1A1A1A"/>
          <w:sz w:val="22"/>
          <w:szCs w:val="22"/>
        </w:rPr>
        <w:t xml:space="preserve">Germany / EU: MiCA compliance for pan-European reach. High cost but largest addressable market.</w:t>
      </w:r>
    </w:p>
    <w:p>
      <w:pPr>
        <w:pStyle w:val="ListParagraph"/>
        <w:numPr>
          <w:ilvl w:val="0"/>
          <w:numId w:val="2"/>
        </w:numPr>
        <w:spacing w:after="40" w:before="40"/>
      </w:pPr>
      <w:r>
        <w:rPr>
          <w:rFonts w:ascii="Arial" w:cs="Arial" w:eastAsia="Arial" w:hAnsi="Arial"/>
          <w:color w:val="1A1A1A"/>
          <w:sz w:val="22"/>
          <w:szCs w:val="22"/>
        </w:rPr>
        <w:t xml:space="preserve">Australia: ASIC sandbox engagement. High homeownership culture matches primary home product.</w:t>
      </w:r>
    </w:p>
    <w:p>
      <w:pPr>
        <w:pStyle w:val="ListParagraph"/>
        <w:numPr>
          <w:ilvl w:val="0"/>
          <w:numId w:val="2"/>
        </w:numPr>
        <w:spacing w:after="40" w:before="40"/>
      </w:pPr>
      <w:r>
        <w:rPr>
          <w:rFonts w:ascii="Arial" w:cs="Arial" w:eastAsia="Arial" w:hAnsi="Arial"/>
          <w:color w:val="1A1A1A"/>
          <w:sz w:val="22"/>
          <w:szCs w:val="22"/>
        </w:rPr>
        <w:t xml:space="preserve">Saudi Arabia: Sovereign wealth fund engagement via established Gulf relationships.</w:t>
      </w:r>
    </w:p>
    <w:p>
      <w:pPr>
        <w:pStyle w:val="ListParagraph"/>
        <w:numPr>
          <w:ilvl w:val="0"/>
          <w:numId w:val="2"/>
        </w:numPr>
        <w:spacing w:after="40" w:before="40"/>
      </w:pPr>
      <w:r>
        <w:rPr>
          <w:rFonts w:ascii="Arial" w:cs="Arial" w:eastAsia="Arial" w:hAnsi="Arial"/>
          <w:color w:val="1A1A1A"/>
          <w:sz w:val="22"/>
          <w:szCs w:val="22"/>
        </w:rPr>
        <w:t xml:space="preserve">Hong Kong: China capital gateway — contingent on geopolitical stability and SPDI precedent.</w:t>
      </w:r>
    </w:p>
    <w:p>
      <w:pPr>
        <w:spacing w:after="100" w:before="0"/>
      </w:pPr>
      <w:r>
        <w:t xml:space="preserve"/>
      </w:r>
    </w:p>
    <w:p>
      <w:pPr>
        <w:pBdr>
          <w:bottom w:val="single" w:color="E4E9ED" w:sz="6" w:space="1"/>
        </w:pBdr>
        <w:spacing w:after="200" w:before="200"/>
      </w:pPr>
      <w:r>
        <w:t xml:space="preserve"/>
      </w:r>
    </w:p>
    <w:p>
      <w:pPr>
        <w:pStyle w:val="Heading1"/>
        <w:pBdr>
          <w:bottom w:val="single" w:color="285A44" w:sz="10" w:space="8"/>
        </w:pBdr>
        <w:spacing w:after="120" w:before="400"/>
      </w:pPr>
      <w:r>
        <w:rPr>
          <w:rFonts w:ascii="Arial" w:cs="Arial" w:eastAsia="Arial" w:hAnsi="Arial"/>
          <w:b/>
          <w:bCs/>
          <w:color w:val="18242F"/>
          <w:sz w:val="34"/>
          <w:szCs w:val="34"/>
        </w:rPr>
        <w:t xml:space="preserve">Part 5 — Consolidated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960"/>
        <w:gridCol w:w="1000"/>
      </w:tblGrid>
      <w:tr>
        <w:tc>
          <w:tcPr>
            <w:tcW w:type="dxa" w:w="20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Risk Area</w:t>
            </w:r>
          </w:p>
        </w:tc>
        <w:tc>
          <w:tcPr>
            <w:tcW w:type="dxa" w:w="34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296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c>
          <w:tcPr>
            <w:tcW w:type="dxa" w:w="1000"/>
            <w:tcBorders>
              <w:top w:val="single" w:color="18242F" w:sz="1"/>
              <w:left w:val="single" w:color="18242F" w:sz="1"/>
              <w:bottom w:val="single" w:color="18242F" w:sz="1"/>
              <w:right w:val="single" w:color="18242F" w:sz="1"/>
            </w:tcBorders>
            <w:shd w:fill="18242F" w:val="clear"/>
            <w:tcMar>
              <w:top w:type="dxa" w:w="80"/>
              <w:left w:type="dxa" w:w="120"/>
              <w:bottom w:type="dxa" w:w="80"/>
              <w:right w:type="dxa" w:w="120"/>
            </w:tcMar>
          </w:tcPr>
          <w:p>
            <w:r>
              <w:rPr>
                <w:rFonts w:ascii="Arial" w:cs="Arial" w:eastAsia="Arial" w:hAnsi="Arial"/>
                <w:b/>
                <w:bCs/>
                <w:color w:val="FFFFFF"/>
                <w:sz w:val="19"/>
                <w:szCs w:val="19"/>
              </w:rPr>
              <w:t xml:space="preserve">Level</w:t>
            </w:r>
          </w:p>
        </w:tc>
      </w:tr>
      <w:tr>
        <w:tc>
          <w:tcPr>
            <w:tcW w:type="dxa" w:w="2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SEC Securities Classification</w:t>
            </w:r>
          </w:p>
        </w:tc>
        <w:tc>
          <w:tcPr>
            <w:tcW w:type="dxa" w:w="3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DEED tokens almost certainly securities under Howey (Use Case 1). Unregistered offering risk.</w:t>
            </w:r>
          </w:p>
        </w:tc>
        <w:tc>
          <w:tcPr>
            <w:tcW w:type="dxa" w:w="29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Treat as securities from Day 1. Launch under Reg D 506(c). No attempt to argue non-security status.</w:t>
            </w:r>
          </w:p>
        </w:tc>
        <w:tc>
          <w:tcPr>
            <w:tcW w:type="dxa" w:w="10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pPr>
              <w:jc w:val="center"/>
            </w:pPr>
            <w:r>
              <w:rPr>
                <w:rFonts w:ascii="Arial" w:cs="Arial" w:eastAsia="Arial" w:hAnsi="Arial"/>
                <w:b/>
                <w:bCs/>
                <w:color w:val="8B2E2E"/>
                <w:sz w:val="18"/>
                <w:szCs w:val="18"/>
              </w:rPr>
              <w:t xml:space="preserve">HIGH</w:t>
            </w:r>
          </w:p>
        </w:tc>
      </w:tr>
      <w:tr>
        <w:tc>
          <w:tcPr>
            <w:tcW w:type="dxa" w:w="2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Broker-Dealer Requirement</w:t>
            </w:r>
          </w:p>
        </w:tc>
        <w:tc>
          <w:tcPr>
            <w:tcW w:type="dxa" w:w="3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Marketplace use case may trigger BD registration. Earning transaction fees on securities transfers.</w:t>
            </w:r>
          </w:p>
        </w:tc>
        <w:tc>
          <w:tcPr>
            <w:tcW w:type="dxa" w:w="29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Partner with FINRA-registered BD. Explore ATS registration pathway parallel to launch.</w:t>
            </w:r>
          </w:p>
        </w:tc>
        <w:tc>
          <w:tcPr>
            <w:tcW w:type="dxa" w:w="10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pPr>
              <w:jc w:val="center"/>
            </w:pPr>
            <w:r>
              <w:rPr>
                <w:rFonts w:ascii="Arial" w:cs="Arial" w:eastAsia="Arial" w:hAnsi="Arial"/>
                <w:b/>
                <w:bCs/>
                <w:color w:val="8B2E2E"/>
                <w:sz w:val="18"/>
                <w:szCs w:val="18"/>
              </w:rPr>
              <w:t xml:space="preserve">HIGH</w:t>
            </w:r>
          </w:p>
        </w:tc>
      </w:tr>
      <w:tr>
        <w:tc>
          <w:tcPr>
            <w:tcW w:type="dxa" w:w="2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Due-on-Sale Clause</w:t>
            </w:r>
          </w:p>
        </w:tc>
        <w:tc>
          <w:tcPr>
            <w:tcW w:type="dxa" w:w="3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Most mortgages contain clause. Token layer may or may not trigger. Legal opinion divided.</w:t>
            </w:r>
          </w:p>
        </w:tc>
        <w:tc>
          <w:tcPr>
            <w:tcW w:type="dxa" w:w="29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Wyoming real estate counsel opinion. Seek lender consent. Disclose risk clearly to homeowners.</w:t>
            </w:r>
          </w:p>
        </w:tc>
        <w:tc>
          <w:tcPr>
            <w:tcW w:type="dxa" w:w="10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pPr>
              <w:jc w:val="center"/>
            </w:pPr>
            <w:r>
              <w:rPr>
                <w:rFonts w:ascii="Arial" w:cs="Arial" w:eastAsia="Arial" w:hAnsi="Arial"/>
                <w:b/>
                <w:bCs/>
                <w:color w:val="7A5C14"/>
                <w:sz w:val="18"/>
                <w:szCs w:val="18"/>
              </w:rPr>
              <w:t xml:space="preserve">MEDIUM</w:t>
            </w:r>
          </w:p>
        </w:tc>
      </w:tr>
      <w:tr>
        <w:tc>
          <w:tcPr>
            <w:tcW w:type="dxa" w:w="2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CFPB Reverse Mortgage</w:t>
            </w:r>
          </w:p>
        </w:tc>
        <w:tc>
          <w:tcPr>
            <w:tcW w:type="dxa" w:w="3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Platform marketing RE alternative will attract CFPB scrutiny. Senior financial products are priority.</w:t>
            </w:r>
          </w:p>
        </w:tc>
        <w:tc>
          <w:tcPr>
            <w:tcW w:type="dxa" w:w="29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Proactive engagement before marketing. No-action letter request. Senior protection protocols.</w:t>
            </w:r>
          </w:p>
        </w:tc>
        <w:tc>
          <w:tcPr>
            <w:tcW w:type="dxa" w:w="10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pPr>
              <w:jc w:val="center"/>
            </w:pPr>
            <w:r>
              <w:rPr>
                <w:rFonts w:ascii="Arial" w:cs="Arial" w:eastAsia="Arial" w:hAnsi="Arial"/>
                <w:b/>
                <w:bCs/>
                <w:color w:val="8B2E2E"/>
                <w:sz w:val="18"/>
                <w:szCs w:val="18"/>
              </w:rPr>
              <w:t xml:space="preserve">HIGH</w:t>
            </w:r>
          </w:p>
        </w:tc>
      </w:tr>
      <w:tr>
        <w:tc>
          <w:tcPr>
            <w:tcW w:type="dxa" w:w="2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Investment Adviser Registration</w:t>
            </w:r>
          </w:p>
        </w:tc>
        <w:tc>
          <w:tcPr>
            <w:tcW w:type="dxa" w:w="3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Fund management component requires IA registration. State initially, then federal.</w:t>
            </w:r>
          </w:p>
        </w:tc>
        <w:tc>
          <w:tcPr>
            <w:tcW w:type="dxa" w:w="29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Wyoming state IA registration before first capital. Federal registration at $110M AUM.</w:t>
            </w:r>
          </w:p>
        </w:tc>
        <w:tc>
          <w:tcPr>
            <w:tcW w:type="dxa" w:w="10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pPr>
              <w:jc w:val="center"/>
            </w:pPr>
            <w:r>
              <w:rPr>
                <w:rFonts w:ascii="Arial" w:cs="Arial" w:eastAsia="Arial" w:hAnsi="Arial"/>
                <w:b/>
                <w:bCs/>
                <w:color w:val="8B2E2E"/>
                <w:sz w:val="18"/>
                <w:szCs w:val="18"/>
              </w:rPr>
              <w:t xml:space="preserve">HIGH</w:t>
            </w:r>
          </w:p>
        </w:tc>
      </w:tr>
      <w:tr>
        <w:tc>
          <w:tcPr>
            <w:tcW w:type="dxa" w:w="2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Property Value Decline</w:t>
            </w:r>
          </w:p>
        </w:tc>
        <w:tc>
          <w:tcPr>
            <w:tcW w:type="dxa" w:w="3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AVM-based token values. Significant decline impairs collateral, triggers margin call.</w:t>
            </w:r>
          </w:p>
        </w:tc>
        <w:tc>
          <w:tcPr>
            <w:tcW w:type="dxa" w:w="29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70% LTV conservative threshold. Annual AVM refresh. Margin call mechanism in pledge agreement.</w:t>
            </w:r>
          </w:p>
        </w:tc>
        <w:tc>
          <w:tcPr>
            <w:tcW w:type="dxa" w:w="10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pPr>
              <w:jc w:val="center"/>
            </w:pPr>
            <w:r>
              <w:rPr>
                <w:rFonts w:ascii="Arial" w:cs="Arial" w:eastAsia="Arial" w:hAnsi="Arial"/>
                <w:b/>
                <w:bCs/>
                <w:color w:val="7A5C14"/>
                <w:sz w:val="18"/>
                <w:szCs w:val="18"/>
              </w:rPr>
              <w:t xml:space="preserve">MEDIUM</w:t>
            </w:r>
          </w:p>
        </w:tc>
      </w:tr>
      <w:tr>
        <w:tc>
          <w:tcPr>
            <w:tcW w:type="dxa" w:w="2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UAE Geopolitical Risk</w:t>
            </w:r>
          </w:p>
        </w:tc>
        <w:tc>
          <w:tcPr>
            <w:tcW w:type="dxa" w:w="3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Mainland China regulatory interference with HK/Gulf capital flows (observed 2025).</w:t>
            </w:r>
          </w:p>
        </w:tc>
        <w:tc>
          <w:tcPr>
            <w:tcW w:type="dxa" w:w="29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UAE is largely insulated from China risk. Dubai VARA is independent. Monitor closely.</w:t>
            </w:r>
          </w:p>
        </w:tc>
        <w:tc>
          <w:tcPr>
            <w:tcW w:type="dxa" w:w="10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pPr>
              <w:jc w:val="center"/>
            </w:pPr>
            <w:r>
              <w:rPr>
                <w:rFonts w:ascii="Arial" w:cs="Arial" w:eastAsia="Arial" w:hAnsi="Arial"/>
                <w:b/>
                <w:bCs/>
                <w:color w:val="1E5C3A"/>
                <w:sz w:val="18"/>
                <w:szCs w:val="18"/>
              </w:rPr>
              <w:t xml:space="preserve">LOW</w:t>
            </w:r>
          </w:p>
        </w:tc>
      </w:tr>
      <w:tr>
        <w:tc>
          <w:tcPr>
            <w:tcW w:type="dxa" w:w="2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Texas/Florida Homestead</w:t>
            </w:r>
          </w:p>
        </w:tc>
        <w:tc>
          <w:tcPr>
            <w:tcW w:type="dxa" w:w="3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Constitutional homestead protections may block primary home token structure.</w:t>
            </w:r>
          </w:p>
        </w:tc>
        <w:tc>
          <w:tcPr>
            <w:tcW w:type="dxa" w:w="29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State-specific counsel before expansion. Delay if legal opinion unfavorable.</w:t>
            </w:r>
          </w:p>
        </w:tc>
        <w:tc>
          <w:tcPr>
            <w:tcW w:type="dxa" w:w="10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pPr>
              <w:jc w:val="center"/>
            </w:pPr>
            <w:r>
              <w:rPr>
                <w:rFonts w:ascii="Arial" w:cs="Arial" w:eastAsia="Arial" w:hAnsi="Arial"/>
                <w:b/>
                <w:bCs/>
                <w:color w:val="7A5C14"/>
                <w:sz w:val="18"/>
                <w:szCs w:val="18"/>
              </w:rPr>
              <w:t xml:space="preserve">MEDIUM</w:t>
            </w:r>
          </w:p>
        </w:tc>
      </w:tr>
      <w:tr>
        <w:tc>
          <w:tcPr>
            <w:tcW w:type="dxa" w:w="20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b/>
                <w:bCs/>
                <w:color w:val="18242F"/>
                <w:sz w:val="19"/>
                <w:szCs w:val="19"/>
              </w:rPr>
              <w:t xml:space="preserve">AML / BSA</w:t>
            </w:r>
          </w:p>
        </w:tc>
        <w:tc>
          <w:tcPr>
            <w:tcW w:type="dxa" w:w="340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Real estate historically high-risk for money laundering. FinCEN scrutiny on crypto real estate.</w:t>
            </w:r>
          </w:p>
        </w:tc>
        <w:tc>
          <w:tcPr>
            <w:tcW w:type="dxa" w:w="2960"/>
            <w:tcBorders>
              <w:top w:val="single" w:color="E4E9ED" w:sz="1"/>
              <w:left w:val="single" w:color="E4E9ED" w:sz="1"/>
              <w:bottom w:val="single" w:color="E4E9ED" w:sz="1"/>
              <w:right w:val="single" w:color="E4E9E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Comprehensive BSA program. Blockchain analytics vendor. OFAC screening of all participants.</w:t>
            </w:r>
          </w:p>
        </w:tc>
        <w:tc>
          <w:tcPr>
            <w:tcW w:type="dxa" w:w="1000"/>
            <w:tcBorders>
              <w:top w:val="single" w:color="E4E9ED" w:sz="1"/>
              <w:left w:val="single" w:color="E4E9ED" w:sz="1"/>
              <w:bottom w:val="single" w:color="E4E9ED" w:sz="1"/>
              <w:right w:val="single" w:color="E4E9ED" w:sz="1"/>
            </w:tcBorders>
            <w:shd w:fill="F5ECD5" w:val="clear"/>
            <w:tcMar>
              <w:top w:type="dxa" w:w="80"/>
              <w:left w:type="dxa" w:w="120"/>
              <w:bottom w:type="dxa" w:w="80"/>
              <w:right w:type="dxa" w:w="120"/>
            </w:tcMar>
          </w:tcPr>
          <w:p>
            <w:pPr>
              <w:jc w:val="center"/>
            </w:pPr>
            <w:r>
              <w:rPr>
                <w:rFonts w:ascii="Arial" w:cs="Arial" w:eastAsia="Arial" w:hAnsi="Arial"/>
                <w:b/>
                <w:bCs/>
                <w:color w:val="7A5C14"/>
                <w:sz w:val="18"/>
                <w:szCs w:val="18"/>
              </w:rPr>
              <w:t xml:space="preserve">MEDIUM</w:t>
            </w:r>
          </w:p>
        </w:tc>
      </w:tr>
      <w:tr>
        <w:tc>
          <w:tcPr>
            <w:tcW w:type="dxa" w:w="20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b/>
                <w:bCs/>
                <w:color w:val="18242F"/>
                <w:sz w:val="19"/>
                <w:szCs w:val="19"/>
              </w:rPr>
              <w:t xml:space="preserve">MiCA Compliance (EU)</w:t>
            </w:r>
          </w:p>
        </w:tc>
        <w:tc>
          <w:tcPr>
            <w:tcW w:type="dxa" w:w="340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EU-wide MiCA regulation applies to crypto-asset services. Compliance cost is substantial.</w:t>
            </w:r>
          </w:p>
        </w:tc>
        <w:tc>
          <w:tcPr>
            <w:tcW w:type="dxa" w:w="2960"/>
            <w:tcBorders>
              <w:top w:val="single" w:color="E4E9ED" w:sz="1"/>
              <w:left w:val="single" w:color="E4E9ED" w:sz="1"/>
              <w:bottom w:val="single" w:color="E4E9ED" w:sz="1"/>
              <w:right w:val="single" w:color="E4E9ED" w:sz="1"/>
            </w:tcBorders>
            <w:shd w:fill="F2F5F7" w:val="clear"/>
            <w:tcMar>
              <w:top w:type="dxa" w:w="80"/>
              <w:left w:type="dxa" w:w="120"/>
              <w:bottom w:type="dxa" w:w="80"/>
              <w:right w:type="dxa" w:w="120"/>
            </w:tcMar>
          </w:tcPr>
          <w:p>
            <w:r>
              <w:rPr>
                <w:rFonts w:ascii="Arial" w:cs="Arial" w:eastAsia="Arial" w:hAnsi="Arial"/>
                <w:color w:val="1A1A1A"/>
                <w:sz w:val="19"/>
                <w:szCs w:val="19"/>
              </w:rPr>
              <w:t xml:space="preserve">Defer EU launch to Phase 4. Use Switzerland as bridge (not MiCA-bound). UK first.</w:t>
            </w:r>
          </w:p>
        </w:tc>
        <w:tc>
          <w:tcPr>
            <w:tcW w:type="dxa" w:w="1000"/>
            <w:tcBorders>
              <w:top w:val="single" w:color="E4E9ED" w:sz="1"/>
              <w:left w:val="single" w:color="E4E9ED" w:sz="1"/>
              <w:bottom w:val="single" w:color="E4E9ED" w:sz="1"/>
              <w:right w:val="single" w:color="E4E9ED" w:sz="1"/>
            </w:tcBorders>
            <w:shd w:fill="DCF0E5" w:val="clear"/>
            <w:tcMar>
              <w:top w:type="dxa" w:w="80"/>
              <w:left w:type="dxa" w:w="120"/>
              <w:bottom w:type="dxa" w:w="80"/>
              <w:right w:type="dxa" w:w="120"/>
            </w:tcMar>
          </w:tcPr>
          <w:p>
            <w:pPr>
              <w:jc w:val="center"/>
            </w:pPr>
            <w:r>
              <w:rPr>
                <w:rFonts w:ascii="Arial" w:cs="Arial" w:eastAsia="Arial" w:hAnsi="Arial"/>
                <w:b/>
                <w:bCs/>
                <w:color w:val="1E5C3A"/>
                <w:sz w:val="18"/>
                <w:szCs w:val="18"/>
              </w:rPr>
              <w:t xml:space="preserve">LOW</w:t>
            </w:r>
          </w:p>
        </w:tc>
      </w:tr>
    </w:tbl>
    <w:p>
      <w:pPr>
        <w:spacing w:after="100" w:before="0"/>
      </w:pPr>
      <w:r>
        <w:t xml:space="preserve"/>
      </w:r>
    </w:p>
    <w:p>
      <w:pPr>
        <w:pBdr>
          <w:bottom w:val="single" w:color="E4E9ED" w:sz="6" w:space="1"/>
        </w:pBdr>
        <w:spacing w:after="200" w:before="200"/>
      </w:pPr>
      <w:r>
        <w:t xml:space="preserve"/>
      </w:r>
    </w:p>
    <w:p>
      <w:pPr>
        <w:pStyle w:val="Heading1"/>
        <w:pBdr>
          <w:bottom w:val="single" w:color="285A44" w:sz="10" w:space="8"/>
        </w:pBdr>
        <w:spacing w:after="120" w:before="400"/>
      </w:pPr>
      <w:r>
        <w:rPr>
          <w:rFonts w:ascii="Arial" w:cs="Arial" w:eastAsia="Arial" w:hAnsi="Arial"/>
          <w:b/>
          <w:bCs/>
          <w:color w:val="18242F"/>
          <w:sz w:val="34"/>
          <w:szCs w:val="34"/>
        </w:rPr>
        <w:t xml:space="preserve">Strategic Recommendation</w:t>
      </w:r>
    </w:p>
    <w:tbl>
      <w:tblPr>
        <w:tblW w:type="dxa" w:w="9360"/>
        <w:tblBorders>
          <w:top w:val="single" w:color="285A44" w:sz="1"/>
          <w:left w:val="single" w:color="285A44" w:sz="20"/>
          <w:bottom w:val="single" w:color="285A44" w:sz="1"/>
          <w:right w:val="single" w:color="285A44"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5F1" w:val="clear"/>
            <w:tcMar>
              <w:top w:type="dxa" w:w="160"/>
              <w:left w:type="dxa" w:w="220"/>
              <w:bottom w:type="dxa" w:w="160"/>
              <w:right w:type="dxa" w:w="220"/>
            </w:tcMar>
          </w:tcPr>
          <w:p>
            <w:pPr>
              <w:spacing w:after="60" w:before="0"/>
            </w:pPr>
            <w:r>
              <w:rPr>
                <w:rFonts w:ascii="Arial" w:cs="Arial" w:eastAsia="Arial" w:hAnsi="Arial"/>
                <w:b/>
                <w:bCs/>
                <w:color w:val="285A44"/>
                <w:sz w:val="20"/>
                <w:szCs w:val="20"/>
              </w:rPr>
              <w:t xml:space="preserve">The Window is Open — Launch Now in Wyoming</w:t>
            </w:r>
          </w:p>
          <w:p>
            <w:pPr>
              <w:spacing w:after="0" w:before="0"/>
            </w:pPr>
            <w:r>
              <w:rPr>
                <w:rFonts w:ascii="Arial" w:cs="Arial" w:eastAsia="Arial" w:hAnsi="Arial"/>
                <w:color w:val="1A1A1A"/>
                <w:sz w:val="21"/>
                <w:szCs w:val="21"/>
              </w:rPr>
              <w:t xml:space="preserve">The convergence of Wyoming's purpose-built legal infrastructure, the most favorable U.S. federal regulatory posture in history, and the global tokenization market still in early adoption creates a narrow but clear window for DeedFlow to establish first-mover position. The primary home equity tokenization product has no direct global competitor. Wyoming's FinTech Sandbox provides a low-risk testing mechanism. Reg D 506(c) enables legal operation immediately. The recommendation is unambiguous: incorporate in Wyoming, engage the FinTech Sandbox, launch a pilot cohort of 10-20 properties under Reg D, and build the compliance infrastructure for national and international expansion in parallel.</w:t>
            </w:r>
          </w:p>
        </w:tc>
      </w:tr>
    </w:tbl>
    <w:p>
      <w:pPr>
        <w:spacing w:after="100" w:before="0"/>
      </w:pPr>
      <w:r>
        <w:t xml:space="preserve"/>
      </w:r>
    </w:p>
    <w:p>
      <w:pPr>
        <w:spacing w:after="100" w:before="60"/>
      </w:pPr>
      <w:r>
        <w:rPr>
          <w:rFonts w:ascii="Arial" w:cs="Arial" w:eastAsia="Arial" w:hAnsi="Arial"/>
          <w:color w:val="1A1A1A"/>
          <w:sz w:val="22"/>
          <w:szCs w:val="22"/>
        </w:rPr>
        <w:t xml:space="preserve">Immediate next steps:</w:t>
      </w:r>
    </w:p>
    <w:p>
      <w:pPr>
        <w:pStyle w:val="ListParagraph"/>
        <w:numPr>
          <w:ilvl w:val="0"/>
          <w:numId w:val="2"/>
        </w:numPr>
        <w:spacing w:after="40" w:before="40"/>
      </w:pPr>
      <w:r>
        <w:rPr>
          <w:rFonts w:ascii="Arial" w:cs="Arial" w:eastAsia="Arial" w:hAnsi="Arial"/>
          <w:color w:val="1A1A1A"/>
          <w:sz w:val="22"/>
          <w:szCs w:val="22"/>
        </w:rPr>
        <w:t xml:space="preserve">Week 1: Engage Wyoming-based securities counsel (Reg D offering docs) and real estate counsel (due-on-sale opinion).</w:t>
      </w:r>
    </w:p>
    <w:p>
      <w:pPr>
        <w:pStyle w:val="ListParagraph"/>
        <w:numPr>
          <w:ilvl w:val="0"/>
          <w:numId w:val="2"/>
        </w:numPr>
        <w:spacing w:after="40" w:before="40"/>
      </w:pPr>
      <w:r>
        <w:rPr>
          <w:rFonts w:ascii="Arial" w:cs="Arial" w:eastAsia="Arial" w:hAnsi="Arial"/>
          <w:color w:val="1A1A1A"/>
          <w:sz w:val="22"/>
          <w:szCs w:val="22"/>
        </w:rPr>
        <w:t xml:space="preserve">Week 2: File Wyoming entity. Evaluate SPDI partnership with Two Ocean Trust or Custodia Bank.</w:t>
      </w:r>
    </w:p>
    <w:p>
      <w:pPr>
        <w:pStyle w:val="ListParagraph"/>
        <w:numPr>
          <w:ilvl w:val="0"/>
          <w:numId w:val="2"/>
        </w:numPr>
        <w:spacing w:after="40" w:before="40"/>
      </w:pPr>
      <w:r>
        <w:rPr>
          <w:rFonts w:ascii="Arial" w:cs="Arial" w:eastAsia="Arial" w:hAnsi="Arial"/>
          <w:color w:val="1A1A1A"/>
          <w:sz w:val="22"/>
          <w:szCs w:val="22"/>
        </w:rPr>
        <w:t xml:space="preserve">Week 3: Apply for Wyoming FinTech Sandbox regulatory waiver for primary home product.</w:t>
      </w:r>
    </w:p>
    <w:p>
      <w:pPr>
        <w:pStyle w:val="ListParagraph"/>
        <w:numPr>
          <w:ilvl w:val="0"/>
          <w:numId w:val="2"/>
        </w:numPr>
        <w:spacing w:after="40" w:before="40"/>
      </w:pPr>
      <w:r>
        <w:rPr>
          <w:rFonts w:ascii="Arial" w:cs="Arial" w:eastAsia="Arial" w:hAnsi="Arial"/>
          <w:color w:val="1A1A1A"/>
          <w:sz w:val="22"/>
          <w:szCs w:val="22"/>
        </w:rPr>
        <w:t xml:space="preserve">Week 4: Begin BSA/AML program design. Engage AML compliance vendor.</w:t>
      </w:r>
    </w:p>
    <w:p>
      <w:pPr>
        <w:pStyle w:val="ListParagraph"/>
        <w:numPr>
          <w:ilvl w:val="0"/>
          <w:numId w:val="2"/>
        </w:numPr>
        <w:spacing w:after="40" w:before="40"/>
      </w:pPr>
      <w:r>
        <w:rPr>
          <w:rFonts w:ascii="Arial" w:cs="Arial" w:eastAsia="Arial" w:hAnsi="Arial"/>
          <w:color w:val="1A1A1A"/>
          <w:sz w:val="22"/>
          <w:szCs w:val="22"/>
        </w:rPr>
        <w:t xml:space="preserve">Month 2: Register as Wyoming Investment Adviser. Draft fund LP documents.</w:t>
      </w:r>
    </w:p>
    <w:p>
      <w:pPr>
        <w:pStyle w:val="ListParagraph"/>
        <w:numPr>
          <w:ilvl w:val="0"/>
          <w:numId w:val="2"/>
        </w:numPr>
        <w:spacing w:after="40" w:before="40"/>
      </w:pPr>
      <w:r>
        <w:rPr>
          <w:rFonts w:ascii="Arial" w:cs="Arial" w:eastAsia="Arial" w:hAnsi="Arial"/>
          <w:color w:val="1A1A1A"/>
          <w:sz w:val="22"/>
          <w:szCs w:val="22"/>
        </w:rPr>
        <w:t xml:space="preserve">Month 2: Informal outreach to CFPB Office of Innovation. Document the contact and response.</w:t>
      </w:r>
    </w:p>
    <w:p>
      <w:pPr>
        <w:pStyle w:val="ListParagraph"/>
        <w:numPr>
          <w:ilvl w:val="0"/>
          <w:numId w:val="2"/>
        </w:numPr>
        <w:spacing w:after="40" w:before="40"/>
      </w:pPr>
      <w:r>
        <w:rPr>
          <w:rFonts w:ascii="Arial" w:cs="Arial" w:eastAsia="Arial" w:hAnsi="Arial"/>
          <w:color w:val="1A1A1A"/>
          <w:sz w:val="22"/>
          <w:szCs w:val="22"/>
        </w:rPr>
        <w:t xml:space="preserve">Month 3: Pilot cohort onboarding — 10-20 Wyoming properties, accredited investors only.</w:t>
      </w:r>
    </w:p>
    <w:p>
      <w:pPr>
        <w:spacing w:after="100" w:before="0"/>
      </w:pPr>
      <w:r>
        <w:t xml:space="preserve"/>
      </w:r>
    </w:p>
    <w:p>
      <w:pPr>
        <w:spacing w:after="100" w:before="60"/>
      </w:pPr>
      <w:r>
        <w:rPr>
          <w:rFonts w:ascii="Arial" w:cs="Arial" w:eastAsia="Arial" w:hAnsi="Arial"/>
          <w:i/>
          <w:iCs/>
          <w:color w:val="8A98A5"/>
          <w:sz w:val="22"/>
          <w:szCs w:val="22"/>
        </w:rPr>
        <w:t xml:space="preserve">This document is not legal advice. DeedFlow must engage qualified securities counsel, real estate attorneys, and consumer protection specialists before any product launch or offering.</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A98A5"/>
        <w:sz w:val="16"/>
        <w:szCs w:val="16"/>
      </w:rPr>
      <w:t xml:space="preserve">DeedFlow — Global Regulatory Landscape    </w:t>
    </w:r>
    <w:r>
      <w:rPr>
        <w:rFonts w:ascii="Arial" w:cs="Arial" w:eastAsia="Arial" w:hAnsi="Arial"/>
        <w:color w:val="8A98A5"/>
        <w:sz w:val="16"/>
        <w:szCs w:val="16"/>
      </w:rPr>
      <w:ptab w:alignment="right" w:relativeTo="margin" w:leader="none"/>
    </w:r>
    <w:r>
      <w:rPr>
        <w:rFonts w:ascii="Arial" w:cs="Arial" w:eastAsia="Arial" w:hAnsi="Arial"/>
        <w:color w:val="8A98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8242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85A44"/>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824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2026-04-27T05:22:18.052Z</dcterms:created>
  <dcterms:modified xsi:type="dcterms:W3CDTF">2026-04-27T05:22:18.053Z</dcterms:modified>
</cp:coreProperties>
</file>

<file path=docProps/custom.xml><?xml version="1.0" encoding="utf-8"?>
<Properties xmlns="http://schemas.openxmlformats.org/officeDocument/2006/custom-properties" xmlns:vt="http://schemas.openxmlformats.org/officeDocument/2006/docPropsVTypes"/>
</file>