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pBdr>
          <w:bottom w:val="single" w:color="285A44" w:sz="16" w:space="16"/>
        </w:pBdr>
        <w:spacing w:after="100" w:before="0"/>
        <w:jc w:val="center"/>
      </w:pPr>
      <w:r>
        <w:rPr>
          <w:rFonts w:ascii="Arial" w:cs="Arial" w:eastAsia="Arial" w:hAnsi="Arial"/>
          <w:b/>
          <w:bCs/>
          <w:color w:val="18242F"/>
          <w:sz w:val="80"/>
          <w:szCs w:val="80"/>
        </w:rPr>
        <w:t xml:space="preserve">DEEDFLOW</w:t>
      </w:r>
    </w:p>
    <w:p>
      <w:pPr>
        <w:spacing w:after="80" w:before="0"/>
      </w:pPr>
      <w:r>
        <w:t xml:space="preserve"/>
      </w:r>
    </w:p>
    <w:p>
      <w:pPr>
        <w:spacing w:after="80" w:before="0"/>
        <w:jc w:val="center"/>
      </w:pPr>
      <w:r>
        <w:rPr>
          <w:rFonts w:ascii="Arial" w:cs="Arial" w:eastAsia="Arial" w:hAnsi="Arial"/>
          <w:b/>
          <w:bCs/>
          <w:caps/>
          <w:color w:val="285A44"/>
          <w:sz w:val="40"/>
          <w:szCs w:val="40"/>
        </w:rPr>
        <w:t xml:space="preserve">PROSPECTIVE PARTNERS</w:t>
      </w:r>
    </w:p>
    <w:p>
      <w:pPr>
        <w:spacing w:after="600" w:before="0"/>
        <w:jc w:val="center"/>
      </w:pPr>
      <w:r>
        <w:rPr>
          <w:rFonts w:ascii="Arial" w:cs="Arial" w:eastAsia="Arial" w:hAnsi="Arial"/>
          <w:i/>
          <w:iCs/>
          <w:color w:val="8B6E52"/>
          <w:sz w:val="24"/>
          <w:szCs w:val="24"/>
        </w:rPr>
        <w:t xml:space="preserve">Banking · Custody · Real Estate Conversion · Infrastructure</w:t>
      </w:r>
    </w:p>
    <w:p>
      <w:pPr>
        <w:spacing w:after="160" w:before="0"/>
      </w:pPr>
      <w:r>
        <w:t xml:space="preserve"/>
      </w:r>
    </w:p>
    <w:tbl>
      <w:tblPr>
        <w:tblW w:type="dxa" w:w="9360"/>
        <w:tblBorders>
          <w:top w:val="single" w:color="B08A26" w:sz="1"/>
          <w:left w:val="single" w:color="B08A26" w:sz="12"/>
          <w:bottom w:val="single" w:color="B08A26" w:sz="1"/>
          <w:right w:val="single" w:color="B08A2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4E4" w:val="clear"/>
            <w:tcMar>
              <w:top w:type="dxa" w:w="200"/>
              <w:left w:type="dxa" w:w="240"/>
              <w:bottom w:type="dxa" w:w="200"/>
              <w:right w:type="dxa" w:w="240"/>
            </w:tcMar>
          </w:tcPr>
          <w:p>
            <w:pPr>
              <w:spacing w:after="60" w:before="0"/>
              <w:jc w:val="center"/>
            </w:pPr>
            <w:r>
              <w:rPr>
                <w:rFonts w:ascii="Arial" w:cs="Arial" w:eastAsia="Arial" w:hAnsi="Arial"/>
                <w:b/>
                <w:bCs/>
                <w:color w:val="B08A26"/>
                <w:sz w:val="20"/>
                <w:szCs w:val="20"/>
              </w:rPr>
              <w:t xml:space="preserve">LOGO PLACEHOLDER INSTRUCTIONS</w:t>
            </w:r>
          </w:p>
          <w:p>
            <w:pPr>
              <w:spacing w:after="40" w:before="0"/>
              <w:jc w:val="center"/>
            </w:pPr>
            <w:r>
              <w:rPr>
                <w:rFonts w:ascii="Arial" w:cs="Arial" w:eastAsia="Arial" w:hAnsi="Arial"/>
                <w:color w:val="5A6876"/>
                <w:sz w:val="20"/>
                <w:szCs w:val="20"/>
              </w:rPr>
              <w:t xml:space="preserve">Each partner card contains a [LOGO] placeholder box. To insert logos:</w:t>
            </w:r>
          </w:p>
          <w:p>
            <w:pPr>
              <w:spacing w:after="20" w:before="0"/>
            </w:pPr>
            <w:r>
              <w:rPr>
                <w:rFonts w:ascii="Arial" w:cs="Arial" w:eastAsia="Arial" w:hAnsi="Arial"/>
                <w:color w:val="5A6876"/>
                <w:sz w:val="19"/>
                <w:szCs w:val="19"/>
              </w:rPr>
              <w:t xml:space="preserve">1.  Download the official logo from each partner's press / brand kit page (URLs listed on the final page)</w:t>
            </w:r>
          </w:p>
          <w:p>
            <w:pPr>
              <w:spacing w:after="20" w:before="0"/>
            </w:pPr>
            <w:r>
              <w:rPr>
                <w:rFonts w:ascii="Arial" w:cs="Arial" w:eastAsia="Arial" w:hAnsi="Arial"/>
                <w:color w:val="5A6876"/>
                <w:sz w:val="19"/>
                <w:szCs w:val="19"/>
              </w:rPr>
              <w:t xml:space="preserve">2.  Click on the gray placeholder box next to each partner name</w:t>
            </w:r>
          </w:p>
          <w:p>
            <w:pPr>
              <w:spacing w:after="20" w:before="0"/>
            </w:pPr>
            <w:r>
              <w:rPr>
                <w:rFonts w:ascii="Arial" w:cs="Arial" w:eastAsia="Arial" w:hAnsi="Arial"/>
                <w:color w:val="5A6876"/>
                <w:sz w:val="19"/>
                <w:szCs w:val="19"/>
              </w:rPr>
              <w:t xml:space="preserve">3.  In Word: Insert → Pictures → This Device — select the downloaded logo</w:t>
            </w:r>
          </w:p>
          <w:p>
            <w:pPr>
              <w:spacing w:after="0" w:before="0"/>
            </w:pPr>
            <w:r>
              <w:rPr>
                <w:rFonts w:ascii="Arial" w:cs="Arial" w:eastAsia="Arial" w:hAnsi="Arial"/>
                <w:color w:val="5A6876"/>
                <w:sz w:val="19"/>
                <w:szCs w:val="19"/>
              </w:rPr>
              <w:t xml:space="preserve">4.  Resize to fit within the placeholder box (approx. 1.2" wide × 0.6" tall)</w:t>
            </w:r>
          </w:p>
        </w:tc>
      </w:tr>
    </w:tbl>
    <w:p>
      <w:pPr>
        <w:spacing w:after="320" w:before="0"/>
      </w:pPr>
      <w:r>
        <w:t xml:space="preserve"/>
      </w:r>
    </w:p>
    <w:p>
      <w:pPr>
        <w:spacing w:after="80" w:before="0"/>
        <w:jc w:val="center"/>
      </w:pPr>
      <w:r>
        <w:rPr>
          <w:rFonts w:ascii="Arial" w:cs="Arial" w:eastAsia="Arial" w:hAnsi="Arial"/>
          <w:caps/>
          <w:color w:val="8A98A5"/>
          <w:sz w:val="18"/>
          <w:szCs w:val="18"/>
        </w:rPr>
        <w:t xml:space="preserve">CONFIDENTIAL — FOR INTERNAL USE ONLY</w:t>
      </w:r>
    </w:p>
    <w:p>
      <w:pPr>
        <w:jc w:val="center"/>
      </w:pPr>
      <w:r>
        <w:rPr>
          <w:rFonts w:ascii="Arial" w:cs="Arial" w:eastAsia="Arial" w:hAnsi="Arial"/>
          <w:color w:val="8A98A5"/>
          <w:sz w:val="20"/>
          <w:szCs w:val="20"/>
        </w:rPr>
        <w:t xml:space="preserve">April 2026</w:t>
      </w:r>
    </w:p>
    <w:p>
      <w:pPr>
        <w:sectPr>
          <w:pgSz w:w="12240" w:h="15840" w:orient="portrait"/>
          <w:pgMar w:top="1440" w:right="1440" w:bottom="1440" w:left="1440" w:header="708" w:footer="708" w:gutter="0"/>
          <w:pgNumType/>
          <w:docGrid w:linePitch="360"/>
        </w:sectPr>
      </w:pPr>
    </w:p>
    <w:p>
      <w:pPr>
        <w:pStyle w:val="Heading1"/>
        <w:pBdr>
          <w:bottom w:val="single" w:color="285A44" w:sz="10" w:space="8"/>
        </w:pBdr>
        <w:spacing w:after="140" w:before="400"/>
      </w:pPr>
      <w:r>
        <w:rPr>
          <w:rFonts w:ascii="Arial" w:cs="Arial" w:eastAsia="Arial" w:hAnsi="Arial"/>
          <w:b/>
          <w:bCs/>
          <w:color w:val="18242F"/>
          <w:sz w:val="34"/>
          <w:szCs w:val="34"/>
        </w:rPr>
        <w:t xml:space="preserve">Overview &amp; Partnership Architecture</w:t>
      </w:r>
    </w:p>
    <w:p>
      <w:pPr>
        <w:spacing w:after="100" w:before="60"/>
      </w:pPr>
      <w:r>
        <w:rPr>
          <w:rFonts w:ascii="Arial" w:cs="Arial" w:eastAsia="Arial" w:hAnsi="Arial"/>
          <w:color w:val="1A1A1A"/>
          <w:sz w:val="22"/>
          <w:szCs w:val="22"/>
        </w:rPr>
        <w:t xml:space="preserve">DeedFlow requires three distinct categories of partners to operate at launch and scale globally. Each serves a different function in the product stack — no single institution covers all three, making the partnership hierarchy critical to sequence correctly.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85A44" w:sz="1"/>
              <w:left w:val="single" w:color="285A44" w:sz="1"/>
              <w:bottom w:val="single" w:color="285A44" w:sz="1"/>
              <w:right w:val="single" w:color="285A44" w:sz="1"/>
            </w:tcBorders>
            <w:shd w:fill="285A4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Category 1</w:t>
            </w:r>
          </w:p>
          <w:p>
            <w:pPr>
              <w:jc w:val="center"/>
            </w:pPr>
            <w:r>
              <w:rPr>
                <w:rFonts w:ascii="Arial" w:cs="Arial" w:eastAsia="Arial" w:hAnsi="Arial"/>
                <w:color w:val="C4D9CF"/>
                <w:sz w:val="19"/>
                <w:szCs w:val="19"/>
              </w:rPr>
              <w:t xml:space="preserve">Banking &amp; Custody</w:t>
            </w:r>
          </w:p>
        </w:tc>
        <w:tc>
          <w:tcPr>
            <w:tcW w:type="dxa" w:w="3120"/>
            <w:tcBorders>
              <w:top w:val="single" w:color="B08A26" w:sz="1"/>
              <w:left w:val="single" w:color="B08A26" w:sz="1"/>
              <w:bottom w:val="single" w:color="B08A26" w:sz="1"/>
              <w:right w:val="single" w:color="B08A26" w:sz="1"/>
            </w:tcBorders>
            <w:shd w:fill="B08A2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Category 2</w:t>
            </w:r>
          </w:p>
          <w:p>
            <w:pPr>
              <w:jc w:val="center"/>
            </w:pPr>
            <w:r>
              <w:rPr>
                <w:rFonts w:ascii="Arial" w:cs="Arial" w:eastAsia="Arial" w:hAnsi="Arial"/>
                <w:color w:val="F5E8C0"/>
                <w:sz w:val="19"/>
                <w:szCs w:val="19"/>
              </w:rPr>
              <w:t xml:space="preserve">Real Estate Conversion</w:t>
            </w:r>
          </w:p>
        </w:tc>
        <w:tc>
          <w:tcPr>
            <w:tcW w:type="dxa" w:w="3120"/>
            <w:tcBorders>
              <w:top w:val="single" w:color="8B6E52" w:sz="1"/>
              <w:left w:val="single" w:color="8B6E52" w:sz="1"/>
              <w:bottom w:val="single" w:color="8B6E52" w:sz="1"/>
              <w:right w:val="single" w:color="8B6E52" w:sz="1"/>
            </w:tcBorders>
            <w:shd w:fill="8B6E5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Category 3</w:t>
            </w:r>
          </w:p>
          <w:p>
            <w:pPr>
              <w:jc w:val="center"/>
            </w:pPr>
            <w:r>
              <w:rPr>
                <w:rFonts w:ascii="Arial" w:cs="Arial" w:eastAsia="Arial" w:hAnsi="Arial"/>
                <w:color w:val="E8D5C0"/>
                <w:sz w:val="19"/>
                <w:szCs w:val="19"/>
              </w:rPr>
              <w:t xml:space="preserve">Infrastructure &amp; Data</w:t>
            </w:r>
          </w:p>
        </w:tc>
      </w:tr>
      <w:tr>
        <w:tc>
          <w:tcPr>
            <w:tcW w:type="dxa" w:w="3120"/>
            <w:tcBorders>
              <w:top w:val="single" w:color="E4E9ED" w:sz="1"/>
              <w:left w:val="single" w:color="E4E9ED" w:sz="1"/>
              <w:bottom w:val="single" w:color="E4E9ED" w:sz="1"/>
              <w:right w:val="single" w:color="E4E9ED" w:sz="1"/>
            </w:tcBorders>
            <w:shd w:fill="ECF4EF" w:val="clear"/>
            <w:tcMar>
              <w:top w:type="dxa" w:w="100"/>
              <w:left w:type="dxa" w:w="140"/>
              <w:bottom w:type="dxa" w:w="100"/>
              <w:right w:type="dxa" w:w="140"/>
            </w:tcMar>
          </w:tcPr>
          <w:p>
            <w:pPr>
              <w:spacing w:after="40" w:before="0"/>
            </w:pPr>
            <w:r>
              <w:rPr>
                <w:rFonts w:ascii="Arial" w:cs="Arial" w:eastAsia="Arial" w:hAnsi="Arial"/>
                <w:color w:val="5A6876"/>
                <w:sz w:val="19"/>
                <w:szCs w:val="19"/>
              </w:rPr>
              <w:t xml:space="preserve">Wyoming SPDI-chartered banks for token custody and legally perfected pledge structure</w:t>
            </w:r>
          </w:p>
          <w:p>
            <w:pPr>
              <w:spacing w:after="0" w:before="0"/>
            </w:pPr>
            <w:r>
              <w:rPr>
                <w:rFonts w:ascii="Arial" w:cs="Arial" w:eastAsia="Arial" w:hAnsi="Arial"/>
                <w:b/>
                <w:bCs/>
                <w:color w:val="285A44"/>
                <w:sz w:val="18"/>
                <w:szCs w:val="18"/>
              </w:rPr>
              <w:t xml:space="preserve">Custodia · WDT · N3XT · First Interstate</w:t>
            </w:r>
          </w:p>
        </w:tc>
        <w:tc>
          <w:tcPr>
            <w:tcW w:type="dxa" w:w="3120"/>
            <w:tcBorders>
              <w:top w:val="single" w:color="E4E9ED" w:sz="1"/>
              <w:left w:val="single" w:color="E4E9ED" w:sz="1"/>
              <w:bottom w:val="single" w:color="E4E9ED" w:sz="1"/>
              <w:right w:val="single" w:color="E4E9ED" w:sz="1"/>
            </w:tcBorders>
            <w:shd w:fill="FAF4E4" w:val="clear"/>
            <w:tcMar>
              <w:top w:type="dxa" w:w="100"/>
              <w:left w:type="dxa" w:w="140"/>
              <w:bottom w:type="dxa" w:w="100"/>
              <w:right w:type="dxa" w:w="140"/>
            </w:tcMar>
          </w:tcPr>
          <w:p>
            <w:pPr>
              <w:spacing w:after="40" w:before="0"/>
            </w:pPr>
            <w:r>
              <w:rPr>
                <w:rFonts w:ascii="Arial" w:cs="Arial" w:eastAsia="Arial" w:hAnsi="Arial"/>
                <w:color w:val="5A6876"/>
                <w:sz w:val="19"/>
                <w:szCs w:val="19"/>
              </w:rPr>
              <w:t xml:space="preserve">Title, deed recording, AVM, and origination pipelines for homeowner and investment property onboarding</w:t>
            </w:r>
          </w:p>
          <w:p>
            <w:pPr>
              <w:spacing w:after="0" w:before="0"/>
            </w:pPr>
            <w:r>
              <w:rPr>
                <w:rFonts w:ascii="Arial" w:cs="Arial" w:eastAsia="Arial" w:hAnsi="Arial"/>
                <w:b/>
                <w:bCs/>
                <w:color w:val="B08A26"/>
                <w:sz w:val="18"/>
                <w:szCs w:val="18"/>
              </w:rPr>
              <w:t xml:space="preserve">Propy · Roofstock · Lofty · RealT</w:t>
            </w:r>
          </w:p>
        </w:tc>
        <w:tc>
          <w:tcPr>
            <w:tcW w:type="dxa" w:w="3120"/>
            <w:tcBorders>
              <w:top w:val="single" w:color="E4E9ED" w:sz="1"/>
              <w:left w:val="single" w:color="E4E9ED" w:sz="1"/>
              <w:bottom w:val="single" w:color="E4E9ED" w:sz="1"/>
              <w:right w:val="single" w:color="E4E9ED" w:sz="1"/>
            </w:tcBorders>
            <w:shd w:fill="F7F0E8" w:val="clear"/>
            <w:tcMar>
              <w:top w:type="dxa" w:w="100"/>
              <w:left w:type="dxa" w:w="140"/>
              <w:bottom w:type="dxa" w:w="100"/>
              <w:right w:type="dxa" w:w="140"/>
            </w:tcMar>
          </w:tcPr>
          <w:p>
            <w:pPr>
              <w:spacing w:after="40" w:before="0"/>
            </w:pPr>
            <w:r>
              <w:rPr>
                <w:rFonts w:ascii="Arial" w:cs="Arial" w:eastAsia="Arial" w:hAnsi="Arial"/>
                <w:color w:val="5A6876"/>
                <w:sz w:val="19"/>
                <w:szCs w:val="19"/>
              </w:rPr>
              <w:t xml:space="preserve">Valuation data, compliance, title insurance, and tokenization technology backbone</w:t>
            </w:r>
          </w:p>
          <w:p>
            <w:pPr>
              <w:spacing w:after="0" w:before="0"/>
            </w:pPr>
            <w:r>
              <w:rPr>
                <w:rFonts w:ascii="Arial" w:cs="Arial" w:eastAsia="Arial" w:hAnsi="Arial"/>
                <w:b/>
                <w:bCs/>
                <w:color w:val="8B6E52"/>
                <w:sz w:val="18"/>
                <w:szCs w:val="18"/>
              </w:rPr>
              <w:t xml:space="preserve">CoreLogic · Securitize · First American · Chainalysis</w:t>
            </w:r>
          </w:p>
        </w:tc>
      </w:tr>
    </w:tbl>
    <w:p>
      <w:pPr>
        <w:spacing w:after="160" w:before="0"/>
      </w:pPr>
      <w:r>
        <w:t xml:space="preserve"/>
      </w:r>
    </w:p>
    <w:p>
      <w:pPr>
        <w:pStyle w:val="Heading1"/>
        <w:pBdr>
          <w:bottom w:val="single" w:color="285A44" w:sz="10" w:space="8"/>
        </w:pBdr>
        <w:spacing w:after="140" w:before="400"/>
      </w:pPr>
      <w:r>
        <w:rPr>
          <w:rFonts w:ascii="Arial" w:cs="Arial" w:eastAsia="Arial" w:hAnsi="Arial"/>
          <w:b/>
          <w:bCs/>
          <w:color w:val="18242F"/>
          <w:sz w:val="34"/>
          <w:szCs w:val="34"/>
        </w:rPr>
        <w:t xml:space="preserve">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1800"/>
        <w:gridCol w:w="3000"/>
        <w:gridCol w:w="2280"/>
      </w:tblGrid>
      <w:tr>
        <w:tc>
          <w:tcPr>
            <w:tcW w:type="dxa" w:w="48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Pri.</w:t>
            </w:r>
          </w:p>
        </w:tc>
        <w:tc>
          <w:tcPr>
            <w:tcW w:type="dxa" w:w="18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Partner</w:t>
            </w:r>
          </w:p>
        </w:tc>
        <w:tc>
          <w:tcPr>
            <w:tcW w:type="dxa" w:w="18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0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Why First</w:t>
            </w:r>
          </w:p>
        </w:tc>
        <w:tc>
          <w:tcPr>
            <w:tcW w:type="dxa" w:w="228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Phase</w:t>
            </w:r>
          </w:p>
        </w:tc>
      </w:tr>
      <w:tr>
        <w:tc>
          <w:tcPr>
            <w:tcW w:type="dxa" w:w="480"/>
            <w:tcBorders>
              <w:top w:val="single" w:color="E4E9ED" w:sz="1"/>
              <w:left w:val="single" w:color="E4E9ED" w:sz="1"/>
              <w:bottom w:val="single" w:color="E4E9ED" w:sz="1"/>
              <w:right w:val="single" w:color="E4E9ED" w:sz="1"/>
            </w:tcBorders>
            <w:shd w:fill="ECF4EF" w:val="clear"/>
            <w:tcMar>
              <w:top w:type="dxa" w:w="80"/>
              <w:left w:type="dxa" w:w="120"/>
              <w:bottom w:type="dxa" w:w="80"/>
              <w:right w:type="dxa" w:w="120"/>
            </w:tcMar>
          </w:tcPr>
          <w:p>
            <w:pPr>
              <w:jc w:val="center"/>
            </w:pPr>
            <w:r>
              <w:rPr>
                <w:rFonts w:ascii="Arial" w:cs="Arial" w:eastAsia="Arial" w:hAnsi="Arial"/>
                <w:b/>
                <w:bCs/>
                <w:color w:val="285A44"/>
                <w:sz w:val="20"/>
                <w:szCs w:val="20"/>
              </w:rPr>
              <w:t xml:space="preserve">1</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Custodia Bank</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Token custody + fund banking</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Legal foundation. Wyoming SPDI. Institutional-grade pledge structure.</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Immediate — before launch</w:t>
            </w:r>
          </w:p>
        </w:tc>
      </w:tr>
      <w:tr>
        <w:tc>
          <w:tcPr>
            <w:tcW w:type="dxa" w:w="480"/>
            <w:tcBorders>
              <w:top w:val="single" w:color="E4E9ED" w:sz="1"/>
              <w:left w:val="single" w:color="E4E9ED" w:sz="1"/>
              <w:bottom w:val="single" w:color="E4E9ED" w:sz="1"/>
              <w:right w:val="single" w:color="E4E9ED" w:sz="1"/>
            </w:tcBorders>
            <w:shd w:fill="ECF4EF" w:val="clear"/>
            <w:tcMar>
              <w:top w:type="dxa" w:w="80"/>
              <w:left w:type="dxa" w:w="120"/>
              <w:bottom w:type="dxa" w:w="80"/>
              <w:right w:type="dxa" w:w="120"/>
            </w:tcMar>
          </w:tcPr>
          <w:p>
            <w:pPr>
              <w:jc w:val="center"/>
            </w:pPr>
            <w:r>
              <w:rPr>
                <w:rFonts w:ascii="Arial" w:cs="Arial" w:eastAsia="Arial" w:hAnsi="Arial"/>
                <w:b/>
                <w:bCs/>
                <w:color w:val="285A44"/>
                <w:sz w:val="20"/>
                <w:szCs w:val="20"/>
              </w:rPr>
              <w:t xml:space="preserve">1</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Propy</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Title + deed recording + DeFi vault</w:t>
            </w:r>
          </w:p>
        </w:tc>
        <w:tc>
          <w:tcPr>
            <w:tcW w:type="dxa" w:w="3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Eliminates 3 vendor relationships. $100M title acquisition. Co-dev opportunity.</w:t>
            </w:r>
          </w:p>
        </w:tc>
        <w:tc>
          <w:tcPr>
            <w:tcW w:type="dxa" w:w="22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Immediate — first call</w:t>
            </w:r>
          </w:p>
        </w:tc>
      </w:tr>
      <w:tr>
        <w:tc>
          <w:tcPr>
            <w:tcW w:type="dxa" w:w="480"/>
            <w:tcBorders>
              <w:top w:val="single" w:color="E4E9ED" w:sz="1"/>
              <w:left w:val="single" w:color="E4E9ED" w:sz="1"/>
              <w:bottom w:val="single" w:color="E4E9ED" w:sz="1"/>
              <w:right w:val="single" w:color="E4E9ED" w:sz="1"/>
            </w:tcBorders>
            <w:shd w:fill="ECF4EF" w:val="clear"/>
            <w:tcMar>
              <w:top w:type="dxa" w:w="80"/>
              <w:left w:type="dxa" w:w="120"/>
              <w:bottom w:type="dxa" w:w="80"/>
              <w:right w:type="dxa" w:w="120"/>
            </w:tcMar>
          </w:tcPr>
          <w:p>
            <w:pPr>
              <w:jc w:val="center"/>
            </w:pPr>
            <w:r>
              <w:rPr>
                <w:rFonts w:ascii="Arial" w:cs="Arial" w:eastAsia="Arial" w:hAnsi="Arial"/>
                <w:b/>
                <w:bCs/>
                <w:color w:val="285A44"/>
                <w:sz w:val="20"/>
                <w:szCs w:val="20"/>
              </w:rPr>
              <w:t xml:space="preserve">1</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Wyoming Deposit &amp; Transfer</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Homeowner accounts + yield settlement</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Integrated custody + fiat banking. Purpose-built for tokenization ventures.</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Immediate — before launch</w:t>
            </w:r>
          </w:p>
        </w:tc>
      </w:tr>
      <w:tr>
        <w:tc>
          <w:tcPr>
            <w:tcW w:type="dxa" w:w="480"/>
            <w:tcBorders>
              <w:top w:val="single" w:color="E4E9ED" w:sz="1"/>
              <w:left w:val="single" w:color="E4E9ED" w:sz="1"/>
              <w:bottom w:val="single" w:color="E4E9ED" w:sz="1"/>
              <w:right w:val="single" w:color="E4E9ED" w:sz="1"/>
            </w:tcBorders>
            <w:shd w:fill="ECF4EF" w:val="clear"/>
            <w:tcMar>
              <w:top w:type="dxa" w:w="80"/>
              <w:left w:type="dxa" w:w="120"/>
              <w:bottom w:type="dxa" w:w="80"/>
              <w:right w:type="dxa" w:w="120"/>
            </w:tcMar>
          </w:tcPr>
          <w:p>
            <w:pPr>
              <w:jc w:val="center"/>
            </w:pPr>
            <w:r>
              <w:rPr>
                <w:rFonts w:ascii="Arial" w:cs="Arial" w:eastAsia="Arial" w:hAnsi="Arial"/>
                <w:b/>
                <w:bCs/>
                <w:color w:val="285A44"/>
                <w:sz w:val="20"/>
                <w:szCs w:val="20"/>
              </w:rPr>
              <w:t xml:space="preserve">1</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CoreLogic</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AVM property valuations</w:t>
            </w:r>
          </w:p>
        </w:tc>
        <w:tc>
          <w:tcPr>
            <w:tcW w:type="dxa" w:w="3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Token value integrity. Required before any homeowner onboarding.</w:t>
            </w:r>
          </w:p>
        </w:tc>
        <w:tc>
          <w:tcPr>
            <w:tcW w:type="dxa" w:w="22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Immediate — data license</w:t>
            </w:r>
          </w:p>
        </w:tc>
      </w:tr>
      <w:tr>
        <w:tc>
          <w:tcPr>
            <w:tcW w:type="dxa" w:w="480"/>
            <w:tcBorders>
              <w:top w:val="single" w:color="E4E9ED" w:sz="1"/>
              <w:left w:val="single" w:color="E4E9ED" w:sz="1"/>
              <w:bottom w:val="single" w:color="E4E9ED" w:sz="1"/>
              <w:right w:val="single" w:color="E4E9ED" w:sz="1"/>
            </w:tcBorders>
            <w:shd w:fill="ECF4EF" w:val="clear"/>
            <w:tcMar>
              <w:top w:type="dxa" w:w="80"/>
              <w:left w:type="dxa" w:w="120"/>
              <w:bottom w:type="dxa" w:w="80"/>
              <w:right w:type="dxa" w:w="120"/>
            </w:tcMar>
          </w:tcPr>
          <w:p>
            <w:pPr>
              <w:jc w:val="center"/>
            </w:pPr>
            <w:r>
              <w:rPr>
                <w:rFonts w:ascii="Arial" w:cs="Arial" w:eastAsia="Arial" w:hAnsi="Arial"/>
                <w:b/>
                <w:bCs/>
                <w:color w:val="285A44"/>
                <w:sz w:val="20"/>
                <w:szCs w:val="20"/>
              </w:rPr>
              <w:t xml:space="preserve">1</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Chainalysis / Elliptic</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AML / BSA compliance monitoring</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FinCEN BSA requirement. Real estate = high-risk AML sector.</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Immediate — before launch</w:t>
            </w:r>
          </w:p>
        </w:tc>
      </w:tr>
      <w:tr>
        <w:tc>
          <w:tcPr>
            <w:tcW w:type="dxa" w:w="480"/>
            <w:tcBorders>
              <w:top w:val="single" w:color="E4E9ED" w:sz="1"/>
              <w:left w:val="single" w:color="E4E9ED" w:sz="1"/>
              <w:bottom w:val="single" w:color="E4E9ED" w:sz="1"/>
              <w:right w:val="single" w:color="E4E9ED" w:sz="1"/>
            </w:tcBorders>
            <w:shd w:fill="FAF4E4" w:val="clear"/>
            <w:tcMar>
              <w:top w:type="dxa" w:w="80"/>
              <w:left w:type="dxa" w:w="120"/>
              <w:bottom w:type="dxa" w:w="80"/>
              <w:right w:type="dxa" w:w="120"/>
            </w:tcMar>
          </w:tcPr>
          <w:p>
            <w:pPr>
              <w:jc w:val="center"/>
            </w:pPr>
            <w:r>
              <w:rPr>
                <w:rFonts w:ascii="Arial" w:cs="Arial" w:eastAsia="Arial" w:hAnsi="Arial"/>
                <w:b/>
                <w:bCs/>
                <w:color w:val="B08A26"/>
                <w:sz w:val="20"/>
                <w:szCs w:val="20"/>
              </w:rPr>
              <w:t xml:space="preserve">2</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N3XT (NDD)</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On-chain USD yield settlement</w:t>
            </w:r>
          </w:p>
        </w:tc>
        <w:tc>
          <w:tcPr>
            <w:tcW w:type="dxa" w:w="3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Live April 2026. Fully on-chain distribution loop for homeowner yields.</w:t>
            </w:r>
          </w:p>
        </w:tc>
        <w:tc>
          <w:tcPr>
            <w:tcW w:type="dxa" w:w="22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Phase 1 — launch</w:t>
            </w:r>
          </w:p>
        </w:tc>
      </w:tr>
      <w:tr>
        <w:tc>
          <w:tcPr>
            <w:tcW w:type="dxa" w:w="480"/>
            <w:tcBorders>
              <w:top w:val="single" w:color="E4E9ED" w:sz="1"/>
              <w:left w:val="single" w:color="E4E9ED" w:sz="1"/>
              <w:bottom w:val="single" w:color="E4E9ED" w:sz="1"/>
              <w:right w:val="single" w:color="E4E9ED" w:sz="1"/>
            </w:tcBorders>
            <w:shd w:fill="FAF4E4" w:val="clear"/>
            <w:tcMar>
              <w:top w:type="dxa" w:w="80"/>
              <w:left w:type="dxa" w:w="120"/>
              <w:bottom w:type="dxa" w:w="80"/>
              <w:right w:type="dxa" w:w="120"/>
            </w:tcMar>
          </w:tcPr>
          <w:p>
            <w:pPr>
              <w:jc w:val="center"/>
            </w:pPr>
            <w:r>
              <w:rPr>
                <w:rFonts w:ascii="Arial" w:cs="Arial" w:eastAsia="Arial" w:hAnsi="Arial"/>
                <w:b/>
                <w:bCs/>
                <w:color w:val="B08A26"/>
                <w:sz w:val="20"/>
                <w:szCs w:val="20"/>
              </w:rPr>
              <w:t xml:space="preserve">2</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Securitize</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Token issuance + transfer agent</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SEC-registered. BlackRock uses Securitize. Built-in KYC/AML compliance.</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Phase 1 — Reg D offering</w:t>
            </w:r>
          </w:p>
        </w:tc>
      </w:tr>
      <w:tr>
        <w:tc>
          <w:tcPr>
            <w:tcW w:type="dxa" w:w="480"/>
            <w:tcBorders>
              <w:top w:val="single" w:color="E4E9ED" w:sz="1"/>
              <w:left w:val="single" w:color="E4E9ED" w:sz="1"/>
              <w:bottom w:val="single" w:color="E4E9ED" w:sz="1"/>
              <w:right w:val="single" w:color="E4E9ED" w:sz="1"/>
            </w:tcBorders>
            <w:shd w:fill="FAF4E4" w:val="clear"/>
            <w:tcMar>
              <w:top w:type="dxa" w:w="80"/>
              <w:left w:type="dxa" w:w="120"/>
              <w:bottom w:type="dxa" w:w="80"/>
              <w:right w:type="dxa" w:w="120"/>
            </w:tcMar>
          </w:tcPr>
          <w:p>
            <w:pPr>
              <w:jc w:val="center"/>
            </w:pPr>
            <w:r>
              <w:rPr>
                <w:rFonts w:ascii="Arial" w:cs="Arial" w:eastAsia="Arial" w:hAnsi="Arial"/>
                <w:b/>
                <w:bCs/>
                <w:color w:val="B08A26"/>
                <w:sz w:val="20"/>
                <w:szCs w:val="20"/>
              </w:rPr>
              <w:t xml:space="preserve">2</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Roofstock onChain</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Investment property origination</w:t>
            </w:r>
          </w:p>
        </w:tc>
        <w:tc>
          <w:tcPr>
            <w:tcW w:type="dxa" w:w="3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Existing blockchain modules. Property inventory + underwriting + rental mgmt.</w:t>
            </w:r>
          </w:p>
        </w:tc>
        <w:tc>
          <w:tcPr>
            <w:tcW w:type="dxa" w:w="22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Phase 1 — investment RE</w:t>
            </w:r>
          </w:p>
        </w:tc>
      </w:tr>
      <w:tr>
        <w:tc>
          <w:tcPr>
            <w:tcW w:type="dxa" w:w="480"/>
            <w:tcBorders>
              <w:top w:val="single" w:color="E4E9ED" w:sz="1"/>
              <w:left w:val="single" w:color="E4E9ED" w:sz="1"/>
              <w:bottom w:val="single" w:color="E4E9ED" w:sz="1"/>
              <w:right w:val="single" w:color="E4E9ED" w:sz="1"/>
            </w:tcBorders>
            <w:shd w:fill="FAF4E4" w:val="clear"/>
            <w:tcMar>
              <w:top w:type="dxa" w:w="80"/>
              <w:left w:type="dxa" w:w="120"/>
              <w:bottom w:type="dxa" w:w="80"/>
              <w:right w:type="dxa" w:w="120"/>
            </w:tcMar>
          </w:tcPr>
          <w:p>
            <w:pPr>
              <w:jc w:val="center"/>
            </w:pPr>
            <w:r>
              <w:rPr>
                <w:rFonts w:ascii="Arial" w:cs="Arial" w:eastAsia="Arial" w:hAnsi="Arial"/>
                <w:b/>
                <w:bCs/>
                <w:color w:val="B08A26"/>
                <w:sz w:val="20"/>
                <w:szCs w:val="20"/>
              </w:rPr>
              <w:t xml:space="preserve">2</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First Interstate Bank</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Wyoming homeowner referrals</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Largest Wyoming community bank. Consumer trust + mortgage book access.</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Phase 1 — acquisition</w:t>
            </w:r>
          </w:p>
        </w:tc>
      </w:tr>
      <w:tr>
        <w:tc>
          <w:tcPr>
            <w:tcW w:type="dxa" w:w="480"/>
            <w:tcBorders>
              <w:top w:val="single" w:color="E4E9ED" w:sz="1"/>
              <w:left w:val="single" w:color="E4E9ED" w:sz="1"/>
              <w:bottom w:val="single" w:color="E4E9ED" w:sz="1"/>
              <w:right w:val="single" w:color="E4E9ED" w:sz="1"/>
            </w:tcBorders>
            <w:shd w:fill="FAF4E4" w:val="clear"/>
            <w:tcMar>
              <w:top w:type="dxa" w:w="80"/>
              <w:left w:type="dxa" w:w="120"/>
              <w:bottom w:type="dxa" w:w="80"/>
              <w:right w:type="dxa" w:w="120"/>
            </w:tcMar>
          </w:tcPr>
          <w:p>
            <w:pPr>
              <w:jc w:val="center"/>
            </w:pPr>
            <w:r>
              <w:rPr>
                <w:rFonts w:ascii="Arial" w:cs="Arial" w:eastAsia="Arial" w:hAnsi="Arial"/>
                <w:b/>
                <w:bCs/>
                <w:color w:val="B08A26"/>
                <w:sz w:val="20"/>
                <w:szCs w:val="20"/>
              </w:rPr>
              <w:t xml:space="preserve">2</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Western Alliance Bank</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Fund vehicle banking</w:t>
            </w:r>
          </w:p>
        </w:tc>
        <w:tc>
          <w:tcPr>
            <w:tcW w:type="dxa" w:w="3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Fund administration, LP capital accounts. Community banks can't do this.</w:t>
            </w:r>
          </w:p>
        </w:tc>
        <w:tc>
          <w:tcPr>
            <w:tcW w:type="dxa" w:w="22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Phase 1 — fund launch</w:t>
            </w:r>
          </w:p>
        </w:tc>
      </w:tr>
      <w:tr>
        <w:tc>
          <w:tcPr>
            <w:tcW w:type="dxa" w:w="480"/>
            <w:tcBorders>
              <w:top w:val="single" w:color="E4E9ED" w:sz="1"/>
              <w:left w:val="single" w:color="E4E9ED" w:sz="1"/>
              <w:bottom w:val="single" w:color="E4E9ED" w:sz="1"/>
              <w:right w:val="single" w:color="E4E9ED" w:sz="1"/>
            </w:tcBorders>
            <w:shd w:fill="F7F0E8" w:val="clear"/>
            <w:tcMar>
              <w:top w:type="dxa" w:w="80"/>
              <w:left w:type="dxa" w:w="120"/>
              <w:bottom w:type="dxa" w:w="80"/>
              <w:right w:type="dxa" w:w="120"/>
            </w:tcMar>
          </w:tcPr>
          <w:p>
            <w:pPr>
              <w:jc w:val="center"/>
            </w:pPr>
            <w:r>
              <w:rPr>
                <w:rFonts w:ascii="Arial" w:cs="Arial" w:eastAsia="Arial" w:hAnsi="Arial"/>
                <w:b/>
                <w:bCs/>
                <w:color w:val="8B6E52"/>
                <w:sz w:val="20"/>
                <w:szCs w:val="20"/>
              </w:rPr>
              <w:t xml:space="preserve">3</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Lofty.ai</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Investment property distribution</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150+ tokenized properties. Wants DeFi yield boost — DeedFlow's exact product.</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Phase 1 — distribution</w:t>
            </w:r>
          </w:p>
        </w:tc>
      </w:tr>
      <w:tr>
        <w:tc>
          <w:tcPr>
            <w:tcW w:type="dxa" w:w="480"/>
            <w:tcBorders>
              <w:top w:val="single" w:color="E4E9ED" w:sz="1"/>
              <w:left w:val="single" w:color="E4E9ED" w:sz="1"/>
              <w:bottom w:val="single" w:color="E4E9ED" w:sz="1"/>
              <w:right w:val="single" w:color="E4E9ED" w:sz="1"/>
            </w:tcBorders>
            <w:shd w:fill="F7F0E8" w:val="clear"/>
            <w:tcMar>
              <w:top w:type="dxa" w:w="80"/>
              <w:left w:type="dxa" w:w="120"/>
              <w:bottom w:type="dxa" w:w="80"/>
              <w:right w:type="dxa" w:w="120"/>
            </w:tcMar>
          </w:tcPr>
          <w:p>
            <w:pPr>
              <w:jc w:val="center"/>
            </w:pPr>
            <w:r>
              <w:rPr>
                <w:rFonts w:ascii="Arial" w:cs="Arial" w:eastAsia="Arial" w:hAnsi="Arial"/>
                <w:b/>
                <w:bCs/>
                <w:color w:val="8B6E52"/>
                <w:sz w:val="20"/>
                <w:szCs w:val="20"/>
              </w:rPr>
              <w:t xml:space="preserve">3</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RealT</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Investment property marketplace</w:t>
            </w:r>
          </w:p>
        </w:tc>
        <w:tc>
          <w:tcPr>
            <w:tcW w:type="dxa" w:w="3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970+ tokenized properties. Proven secondary market. Distribution channel.</w:t>
            </w:r>
          </w:p>
        </w:tc>
        <w:tc>
          <w:tcPr>
            <w:tcW w:type="dxa" w:w="22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Phase 2</w:t>
            </w:r>
          </w:p>
        </w:tc>
      </w:tr>
      <w:tr>
        <w:tc>
          <w:tcPr>
            <w:tcW w:type="dxa" w:w="480"/>
            <w:tcBorders>
              <w:top w:val="single" w:color="E4E9ED" w:sz="1"/>
              <w:left w:val="single" w:color="E4E9ED" w:sz="1"/>
              <w:bottom w:val="single" w:color="E4E9ED" w:sz="1"/>
              <w:right w:val="single" w:color="E4E9ED" w:sz="1"/>
            </w:tcBorders>
            <w:shd w:fill="F7F0E8" w:val="clear"/>
            <w:tcMar>
              <w:top w:type="dxa" w:w="80"/>
              <w:left w:type="dxa" w:w="120"/>
              <w:bottom w:type="dxa" w:w="80"/>
              <w:right w:type="dxa" w:w="120"/>
            </w:tcMar>
          </w:tcPr>
          <w:p>
            <w:pPr>
              <w:jc w:val="center"/>
            </w:pPr>
            <w:r>
              <w:rPr>
                <w:rFonts w:ascii="Arial" w:cs="Arial" w:eastAsia="Arial" w:hAnsi="Arial"/>
                <w:b/>
                <w:bCs/>
                <w:color w:val="8B6E52"/>
                <w:sz w:val="20"/>
                <w:szCs w:val="20"/>
              </w:rPr>
              <w:t xml:space="preserve">3</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First American Title</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Title insurance endorsement</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National endorsement for tokenized equity structure. Marketing + legal asset.</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Phase 2 — national expansion</w:t>
            </w:r>
          </w:p>
        </w:tc>
      </w:tr>
      <w:tr>
        <w:tc>
          <w:tcPr>
            <w:tcW w:type="dxa" w:w="480"/>
            <w:tcBorders>
              <w:top w:val="single" w:color="E4E9ED" w:sz="1"/>
              <w:left w:val="single" w:color="E4E9ED" w:sz="1"/>
              <w:bottom w:val="single" w:color="E4E9ED" w:sz="1"/>
              <w:right w:val="single" w:color="E4E9ED" w:sz="1"/>
            </w:tcBorders>
            <w:shd w:fill="F7F0E8" w:val="clear"/>
            <w:tcMar>
              <w:top w:type="dxa" w:w="80"/>
              <w:left w:type="dxa" w:w="120"/>
              <w:bottom w:type="dxa" w:w="80"/>
              <w:right w:type="dxa" w:w="120"/>
            </w:tcMar>
          </w:tcPr>
          <w:p>
            <w:pPr>
              <w:jc w:val="center"/>
            </w:pPr>
            <w:r>
              <w:rPr>
                <w:rFonts w:ascii="Arial" w:cs="Arial" w:eastAsia="Arial" w:hAnsi="Arial"/>
                <w:b/>
                <w:bCs/>
                <w:color w:val="8B6E52"/>
                <w:sz w:val="20"/>
                <w:szCs w:val="20"/>
              </w:rPr>
              <w:t xml:space="preserve">3</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Hometap / Point / Unison</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Referral from equity incumbents</w:t>
            </w:r>
          </w:p>
        </w:tc>
        <w:tc>
          <w:tcPr>
            <w:tcW w:type="dxa" w:w="3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They have origination; DeedFlow is the product for homeowners who won't sell equity.</w:t>
            </w:r>
          </w:p>
        </w:tc>
        <w:tc>
          <w:tcPr>
            <w:tcW w:type="dxa" w:w="22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Phase 2</w:t>
            </w:r>
          </w:p>
        </w:tc>
      </w:tr>
      <w:tr>
        <w:tc>
          <w:tcPr>
            <w:tcW w:type="dxa" w:w="480"/>
            <w:tcBorders>
              <w:top w:val="single" w:color="E4E9ED" w:sz="1"/>
              <w:left w:val="single" w:color="E4E9ED" w:sz="1"/>
              <w:bottom w:val="single" w:color="E4E9ED" w:sz="1"/>
              <w:right w:val="single" w:color="E4E9ED" w:sz="1"/>
            </w:tcBorders>
            <w:shd w:fill="F7F0E8" w:val="clear"/>
            <w:tcMar>
              <w:top w:type="dxa" w:w="80"/>
              <w:left w:type="dxa" w:w="120"/>
              <w:bottom w:type="dxa" w:w="80"/>
              <w:right w:type="dxa" w:w="120"/>
            </w:tcMar>
          </w:tcPr>
          <w:p>
            <w:pPr>
              <w:jc w:val="center"/>
            </w:pPr>
            <w:r>
              <w:rPr>
                <w:rFonts w:ascii="Arial" w:cs="Arial" w:eastAsia="Arial" w:hAnsi="Arial"/>
                <w:b/>
                <w:bCs/>
                <w:color w:val="8B6E52"/>
                <w:sz w:val="20"/>
                <w:szCs w:val="20"/>
              </w:rPr>
              <w:t xml:space="preserve">3</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Opendoor / Offerpad</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iBuyer homeowner referral funnel</w:t>
            </w:r>
          </w:p>
        </w:tc>
        <w:tc>
          <w:tcPr>
            <w:tcW w:type="dxa" w:w="3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Equity-rich homeowners who want liquidity without selling. Warm lead pipeline.</w:t>
            </w:r>
          </w:p>
        </w:tc>
        <w:tc>
          <w:tcPr>
            <w:tcW w:type="dxa" w:w="22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Phase 2 — national</w:t>
            </w:r>
          </w:p>
        </w:tc>
      </w:tr>
    </w:tbl>
    <w:p>
      <w:pPr>
        <w:spacing w:after="160" w:before="0"/>
      </w:pPr>
      <w:r>
        <w:t xml:space="preserve"/>
      </w:r>
    </w:p>
    <w:p>
      <w:pPr>
        <w:pBdr>
          <w:bottom w:val="single" w:color="E4E9ED" w:sz="6" w:space="1"/>
        </w:pBdr>
        <w:spacing w:after="240" w:before="240"/>
      </w:pPr>
      <w:r>
        <w:t xml:space="preserve"/>
      </w:r>
    </w:p>
    <w:p>
      <w:pPr>
        <w:pStyle w:val="Heading1"/>
        <w:pBdr>
          <w:bottom w:val="single" w:color="285A44" w:sz="10" w:space="8"/>
        </w:pBdr>
        <w:spacing w:after="140" w:before="400"/>
      </w:pPr>
      <w:r>
        <w:rPr>
          <w:rFonts w:ascii="Arial" w:cs="Arial" w:eastAsia="Arial" w:hAnsi="Arial"/>
          <w:b/>
          <w:bCs/>
          <w:color w:val="18242F"/>
          <w:sz w:val="34"/>
          <w:szCs w:val="34"/>
        </w:rPr>
        <w:t xml:space="preserve">Category 1 — Banking &amp; Custody Partners</w:t>
      </w:r>
    </w:p>
    <w:p>
      <w:pPr>
        <w:spacing w:after="100" w:before="60"/>
      </w:pPr>
      <w:r>
        <w:rPr>
          <w:rFonts w:ascii="Arial" w:cs="Arial" w:eastAsia="Arial" w:hAnsi="Arial"/>
          <w:color w:val="1A1A1A"/>
          <w:sz w:val="22"/>
          <w:szCs w:val="22"/>
        </w:rPr>
        <w:t xml:space="preserve">DeedFlow's token pledge mechanism requires a legally perfected security interest in DEED tokens under Wyoming UCC Article 12. Only Wyoming SPDI-chartered institutions provide this under a fully regulated framework. Four SPDI charters have been issued as of April 2026.</w:t>
      </w:r>
    </w:p>
    <w:p>
      <w:pPr>
        <w:spacing w:after="80" w:before="0"/>
      </w:pPr>
      <w:r>
        <w:t xml:space="preserve"/>
      </w:r>
    </w:p>
    <w:p>
      <w:pPr>
        <w:pStyle w:val="Heading2"/>
        <w:spacing w:after="100" w:before="300"/>
      </w:pPr>
      <w:r>
        <w:rPr>
          <w:rFonts w:ascii="Arial" w:cs="Arial" w:eastAsia="Arial" w:hAnsi="Arial"/>
          <w:b/>
          <w:bCs/>
          <w:color w:val="285A44"/>
          <w:sz w:val="26"/>
          <w:szCs w:val="26"/>
        </w:rPr>
        <w:t xml:space="preserve">Wyoming SPDI Banks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Custodia Bank</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Custodia Bank</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285A44"/>
                      <w:sz w:val="17"/>
                      <w:szCs w:val="17"/>
                      <w:shd w:fill="ECF4EF" w:val="clear"/>
                    </w:rPr>
                    <w:t xml:space="preserve">  Wyoming SPDI · Token Custody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285A44"/>
                      <w:sz w:val="16"/>
                      <w:szCs w:val="16"/>
                      <w:shd w:fill="ECF4EF" w:val="clear"/>
                    </w:rPr>
                    <w:t xml:space="preserve">  PRIORITY 1  </w:t>
                  </w:r>
                </w:p>
              </w:tc>
            </w:tr>
          </w:tbl>
          <w:p>
            <w:pPr>
              <w:spacing w:after="80" w:before="0"/>
            </w:pPr>
            <w:r>
              <w:t xml:space="preserve"/>
            </w:r>
          </w:p>
          <w:p>
            <w:pPr>
              <w:spacing w:after="40" w:before="0"/>
            </w:pPr>
            <w:r>
              <w:rPr>
                <w:rFonts w:ascii="Arial" w:cs="Arial" w:eastAsia="Arial" w:hAnsi="Arial"/>
                <w:i/>
                <w:iCs/>
                <w:color w:val="3A7A5C"/>
                <w:sz w:val="18"/>
                <w:szCs w:val="18"/>
              </w:rPr>
              <w:t xml:space="preserve">custodiabank.com</w:t>
            </w:r>
          </w:p>
          <w:p>
            <w:pPr>
              <w:spacing w:after="80" w:before="0"/>
            </w:pPr>
            <w:r>
              <w:rPr>
                <w:rFonts w:ascii="Arial" w:cs="Arial" w:eastAsia="Arial" w:hAnsi="Arial"/>
                <w:color w:val="5A6876"/>
                <w:sz w:val="20"/>
                <w:szCs w:val="20"/>
              </w:rPr>
              <w:t xml:space="preserve">Founded by Caitlin Long (former Wall Street securitization executive). Wyoming's second SPDI charter. Specifically focused on providing institutional-grade digital asset custody for mainstream institutional investors.</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Primary custody of DEED tokens on fund side; capital deployment banking infrastructure; legally perfected pledge under Wyoming UCC Article 12.</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chartered and active</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Most critical Day 1 banking partner. Caitlin Long's Wall Street pedigree + Wyoming SPDI = ideal combination for institutional credibility.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Wyoming Deposit &amp; Transfer (WDT)</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Wyoming Deposit &amp; Transfer (WDT)</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285A44"/>
                      <w:sz w:val="17"/>
                      <w:szCs w:val="17"/>
                      <w:shd w:fill="ECF4EF" w:val="clear"/>
                    </w:rPr>
                    <w:t xml:space="preserve">  Wyoming SPDI · Homeowner Banking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285A44"/>
                      <w:sz w:val="16"/>
                      <w:szCs w:val="16"/>
                      <w:shd w:fill="ECF4EF" w:val="clear"/>
                    </w:rPr>
                    <w:t xml:space="preserve">  PRIORITY 1  </w:t>
                  </w:r>
                </w:p>
              </w:tc>
            </w:tr>
          </w:tbl>
          <w:p>
            <w:pPr>
              <w:spacing w:after="80" w:before="0"/>
            </w:pPr>
            <w:r>
              <w:t xml:space="preserve"/>
            </w:r>
          </w:p>
          <w:p>
            <w:pPr>
              <w:spacing w:after="40" w:before="0"/>
            </w:pPr>
            <w:r>
              <w:rPr>
                <w:rFonts w:ascii="Arial" w:cs="Arial" w:eastAsia="Arial" w:hAnsi="Arial"/>
                <w:i/>
                <w:iCs/>
                <w:color w:val="3A7A5C"/>
                <w:sz w:val="18"/>
                <w:szCs w:val="18"/>
              </w:rPr>
              <w:t xml:space="preserve">wdtfinancial.com</w:t>
            </w:r>
          </w:p>
          <w:p>
            <w:pPr>
              <w:spacing w:after="80" w:before="0"/>
            </w:pPr>
            <w:r>
              <w:rPr>
                <w:rFonts w:ascii="Arial" w:cs="Arial" w:eastAsia="Arial" w:hAnsi="Arial"/>
                <w:color w:val="5A6876"/>
                <w:sz w:val="20"/>
                <w:szCs w:val="20"/>
              </w:rPr>
              <w:t xml:space="preserve">Third Wyoming SPDI charter. Mission explicitly states serving small and medium-sized blockchain ventures — the intended audience for Wyoming's blockchain legislation. Integrated custody and commercial banking platform.</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Homeowner-facing token custody accounts; fiat banking for quarterly yield distributions to homeowners; bridge between token world and homeowner bank accounts.</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chartered and active</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Purpose-built for exactly DeedFlow's use case. CEO Julie Fellows is an experienced banking regulatory veteran.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N3XT (N3XT Digital Dollar — NDD)</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N3XT (N3XT Digital Dollar — NDD)</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285A44"/>
                      <w:sz w:val="17"/>
                      <w:szCs w:val="17"/>
                      <w:shd w:fill="ECF4EF" w:val="clear"/>
                    </w:rPr>
                    <w:t xml:space="preserve">  Wyoming SPDI · Settlement Rail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B08A26"/>
                      <w:sz w:val="16"/>
                      <w:szCs w:val="16"/>
                      <w:shd w:fill="FAF4E4" w:val="clear"/>
                    </w:rPr>
                    <w:t xml:space="preserve">  PRIORITY 2  </w:t>
                  </w:r>
                </w:p>
              </w:tc>
            </w:tr>
          </w:tbl>
          <w:p>
            <w:pPr>
              <w:spacing w:after="80" w:before="0"/>
            </w:pPr>
            <w:r>
              <w:t xml:space="preserve"/>
            </w:r>
          </w:p>
          <w:p>
            <w:pPr>
              <w:spacing w:after="40" w:before="0"/>
            </w:pPr>
            <w:r>
              <w:rPr>
                <w:rFonts w:ascii="Arial" w:cs="Arial" w:eastAsia="Arial" w:hAnsi="Arial"/>
                <w:i/>
                <w:iCs/>
                <w:color w:val="3A7A5C"/>
                <w:sz w:val="18"/>
                <w:szCs w:val="18"/>
              </w:rPr>
              <w:t xml:space="preserve">n3xt.com</w:t>
            </w:r>
          </w:p>
          <w:p>
            <w:pPr>
              <w:spacing w:after="80" w:before="0"/>
            </w:pPr>
            <w:r>
              <w:rPr>
                <w:rFonts w:ascii="Arial" w:cs="Arial" w:eastAsia="Arial" w:hAnsi="Arial"/>
                <w:color w:val="5A6876"/>
                <w:sz w:val="20"/>
                <w:szCs w:val="20"/>
              </w:rPr>
              <w:t xml:space="preserve">Launched the N3XT Digital Dollar (NDD) on April 21, 2026 — a bank-issued tokenized deposit backed 1:1 by cash or U.S. Treasuries under Wyoming's SPDI charter. Designed for real-time USD settlement on blockchain networks.</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Settlement currency for quarterly yield distributions to homeowners — creates a fully on-chain, instant, auditable yield payment loop. Eliminates traditional wire transfer delays.</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Live — launched April 21, 2026</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Most recently operational SPDI. Presented at Money20/20 Asia (Bangkok) at launch. Actively seeking enterprise clients.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Commercium Financial</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Commercium Financial</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8B6E52"/>
                      <w:sz w:val="17"/>
                      <w:szCs w:val="17"/>
                      <w:shd w:fill="F7F0E8" w:val="clear"/>
                    </w:rPr>
                    <w:t xml:space="preserve">  Wyoming SPDI · Backup Custody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commerciumfinancial.com</w:t>
            </w:r>
          </w:p>
          <w:p>
            <w:pPr>
              <w:spacing w:after="80" w:before="0"/>
            </w:pPr>
            <w:r>
              <w:rPr>
                <w:rFonts w:ascii="Arial" w:cs="Arial" w:eastAsia="Arial" w:hAnsi="Arial"/>
                <w:color w:val="5A6876"/>
                <w:sz w:val="20"/>
                <w:szCs w:val="20"/>
              </w:rPr>
              <w:t xml:space="preserve">Fourth Wyoming SPDI charter. Mission: create a fully digital and automated financial institution blending traditional banking with asset tokenization products. Approaching operational status.</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Backup custody provider or secondary banking relationship. Monitor for operational readiness before primary engagement.</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Chartered — approaching operational</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Not a Day 1 partner. Engage when operational. Useful as redundancy in custody structure.</w:t>
            </w:r>
          </w:p>
        </w:tc>
      </w:tr>
    </w:tbl>
    <w:p>
      <w:pPr>
        <w:spacing w:after="80" w:before="0"/>
      </w:pPr>
      <w:r>
        <w:t xml:space="preserve"/>
      </w:r>
    </w:p>
    <w:p>
      <w:pPr>
        <w:pStyle w:val="Heading2"/>
        <w:spacing w:after="100" w:before="300"/>
      </w:pPr>
      <w:r>
        <w:rPr>
          <w:rFonts w:ascii="Arial" w:cs="Arial" w:eastAsia="Arial" w:hAnsi="Arial"/>
          <w:b/>
          <w:bCs/>
          <w:color w:val="285A44"/>
          <w:sz w:val="26"/>
          <w:szCs w:val="26"/>
        </w:rPr>
        <w:t xml:space="preserve">Traditional Banking Partners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First Interstate Bank</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First Interstate Bank</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B08A26"/>
                      <w:sz w:val="17"/>
                      <w:szCs w:val="17"/>
                      <w:shd w:fill="FAF4E4" w:val="clear"/>
                    </w:rPr>
                    <w:t xml:space="preserve">  Community Bank · Consumer Referrals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B08A26"/>
                      <w:sz w:val="16"/>
                      <w:szCs w:val="16"/>
                      <w:shd w:fill="FAF4E4" w:val="clear"/>
                    </w:rPr>
                    <w:t xml:space="preserve">  PRIORITY 2  </w:t>
                  </w:r>
                </w:p>
              </w:tc>
            </w:tr>
          </w:tbl>
          <w:p>
            <w:pPr>
              <w:spacing w:after="80" w:before="0"/>
            </w:pPr>
            <w:r>
              <w:t xml:space="preserve"/>
            </w:r>
          </w:p>
          <w:p>
            <w:pPr>
              <w:spacing w:after="40" w:before="0"/>
            </w:pPr>
            <w:r>
              <w:rPr>
                <w:rFonts w:ascii="Arial" w:cs="Arial" w:eastAsia="Arial" w:hAnsi="Arial"/>
                <w:i/>
                <w:iCs/>
                <w:color w:val="3A7A5C"/>
                <w:sz w:val="18"/>
                <w:szCs w:val="18"/>
              </w:rPr>
              <w:t xml:space="preserve">firstinterstatebank.com</w:t>
            </w:r>
          </w:p>
          <w:p>
            <w:pPr>
              <w:spacing w:after="80" w:before="0"/>
            </w:pPr>
            <w:r>
              <w:rPr>
                <w:rFonts w:ascii="Arial" w:cs="Arial" w:eastAsia="Arial" w:hAnsi="Arial"/>
                <w:color w:val="5A6876"/>
                <w:sz w:val="20"/>
                <w:szCs w:val="20"/>
              </w:rPr>
              <w:t xml:space="preserve">Wyoming's largest community bank. Deep real estate relationships across the state, large mortgage portfolio, and name recognition with DeedFlow's exact target homeowner demographic.</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Consumer referral partner — introduces DeedFlow to high-equity mortgage holders in their portfolio. Earns referral fee per onboarded homeowner.</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no partnership yet</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Consumer trust is DeedFlow's hardest problem. A First Interstate endorsement solves it in Wyoming instantly.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Western Alliance Bank</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Western Alliance Bank</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8B6E52"/>
                      <w:sz w:val="17"/>
                      <w:szCs w:val="17"/>
                      <w:shd w:fill="F7F0E8" w:val="clear"/>
                    </w:rPr>
                    <w:t xml:space="preserve">  Institutional Bank · Fund Banking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B08A26"/>
                      <w:sz w:val="16"/>
                      <w:szCs w:val="16"/>
                      <w:shd w:fill="FAF4E4" w:val="clear"/>
                    </w:rPr>
                    <w:t xml:space="preserve">  PRIORITY 2  </w:t>
                  </w:r>
                </w:p>
              </w:tc>
            </w:tr>
          </w:tbl>
          <w:p>
            <w:pPr>
              <w:spacing w:after="80" w:before="0"/>
            </w:pPr>
            <w:r>
              <w:t xml:space="preserve"/>
            </w:r>
          </w:p>
          <w:p>
            <w:pPr>
              <w:spacing w:after="40" w:before="0"/>
            </w:pPr>
            <w:r>
              <w:rPr>
                <w:rFonts w:ascii="Arial" w:cs="Arial" w:eastAsia="Arial" w:hAnsi="Arial"/>
                <w:i/>
                <w:iCs/>
                <w:color w:val="3A7A5C"/>
                <w:sz w:val="18"/>
                <w:szCs w:val="18"/>
              </w:rPr>
              <w:t xml:space="preserve">westernalliancebank.com</w:t>
            </w:r>
          </w:p>
          <w:p>
            <w:pPr>
              <w:spacing w:after="80" w:before="0"/>
            </w:pPr>
            <w:r>
              <w:rPr>
                <w:rFonts w:ascii="Arial" w:cs="Arial" w:eastAsia="Arial" w:hAnsi="Arial"/>
                <w:color w:val="5A6876"/>
                <w:sz w:val="20"/>
                <w:szCs w:val="20"/>
              </w:rPr>
              <w:t xml:space="preserve">Regional institutional bank with proven track record in fintech fund banking, LP capital account management, and alternative investment fund administration. Comfortable with blockchain-native ventures.</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Fund vehicle banking — LP capital accounts, fund administration, institutional wire processing for the DeedFlow Capital fund entity.</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no partnership yet</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Wyoming community banks cannot handle fund administration at this complexity level. Western Alliance or equivalent is required for the fund vehicle.</w:t>
            </w:r>
          </w:p>
        </w:tc>
      </w:tr>
    </w:tbl>
    <w:p>
      <w:pPr>
        <w:spacing w:after="80" w:before="0"/>
      </w:pPr>
      <w:r>
        <w:t xml:space="preserve"/>
      </w:r>
    </w:p>
    <w:p>
      <w:pPr>
        <w:pBdr>
          <w:bottom w:val="single" w:color="E4E9ED" w:sz="6" w:space="1"/>
        </w:pBdr>
        <w:spacing w:after="240" w:before="240"/>
      </w:pPr>
      <w:r>
        <w:t xml:space="preserve"/>
      </w:r>
    </w:p>
    <w:p>
      <w:pPr>
        <w:pStyle w:val="Heading1"/>
        <w:pBdr>
          <w:bottom w:val="single" w:color="285A44" w:sz="10" w:space="8"/>
        </w:pBdr>
        <w:spacing w:after="140" w:before="400"/>
      </w:pPr>
      <w:r>
        <w:rPr>
          <w:rFonts w:ascii="Arial" w:cs="Arial" w:eastAsia="Arial" w:hAnsi="Arial"/>
          <w:b/>
          <w:bCs/>
          <w:color w:val="18242F"/>
          <w:sz w:val="34"/>
          <w:szCs w:val="34"/>
        </w:rPr>
        <w:t xml:space="preserve">Category 2 — Real Estate Conversion Partners</w:t>
      </w:r>
    </w:p>
    <w:p>
      <w:pPr>
        <w:spacing w:after="100" w:before="60"/>
      </w:pPr>
      <w:r>
        <w:rPr>
          <w:rFonts w:ascii="Arial" w:cs="Arial" w:eastAsia="Arial" w:hAnsi="Arial"/>
          <w:color w:val="1A1A1A"/>
          <w:sz w:val="22"/>
          <w:szCs w:val="22"/>
        </w:rPr>
        <w:t xml:space="preserve">Real estate conversion partners provide the property data, title verification, AVM infrastructure, and transaction rails needed to onboard homeowners and investment properties onto the DeedFlow platform. The right partners can eliminate the need to build origination infrastructure from scratch.</w:t>
      </w:r>
    </w:p>
    <w:p>
      <w:pPr>
        <w:spacing w:after="80" w:before="0"/>
      </w:pPr>
      <w:r>
        <w:t xml:space="preserve"/>
      </w:r>
    </w:p>
    <w:p>
      <w:pPr>
        <w:pStyle w:val="Heading2"/>
        <w:spacing w:after="100" w:before="300"/>
      </w:pPr>
      <w:r>
        <w:rPr>
          <w:rFonts w:ascii="Arial" w:cs="Arial" w:eastAsia="Arial" w:hAnsi="Arial"/>
          <w:b/>
          <w:bCs/>
          <w:color w:val="285A44"/>
          <w:sz w:val="26"/>
          <w:szCs w:val="26"/>
        </w:rPr>
        <w:t xml:space="preserve">Primary Residence Partners</w:t>
      </w:r>
    </w:p>
    <w:p>
      <w:pPr>
        <w:spacing w:after="80" w:before="0"/>
      </w:pPr>
      <w:r>
        <w:t xml:space="preserve"/>
      </w:r>
    </w:p>
    <w:tbl>
      <w:tblPr>
        <w:tblW w:type="dxa" w:w="9360"/>
        <w:tblBorders>
          <w:top w:val="single" w:color="285A44" w:sz="1"/>
          <w:left w:val="single" w:color="285A44" w:sz="20"/>
          <w:bottom w:val="single" w:color="285A44" w:sz="1"/>
          <w:right w:val="single" w:color="285A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4EF" w:val="clear"/>
            <w:tcMar>
              <w:top w:type="dxa" w:w="160"/>
              <w:left w:type="dxa" w:w="220"/>
              <w:bottom w:type="dxa" w:w="160"/>
              <w:right w:type="dxa" w:w="220"/>
            </w:tcMar>
          </w:tcPr>
          <w:p>
            <w:pPr>
              <w:spacing w:after="60" w:before="0"/>
            </w:pPr>
            <w:r>
              <w:rPr>
                <w:rFonts w:ascii="Arial" w:cs="Arial" w:eastAsia="Arial" w:hAnsi="Arial"/>
                <w:b/>
                <w:bCs/>
                <w:color w:val="285A44"/>
                <w:sz w:val="20"/>
                <w:szCs w:val="20"/>
              </w:rPr>
              <w:t xml:space="preserve">Most Strategic Partnership — Propy</w:t>
            </w:r>
          </w:p>
          <w:p>
            <w:pPr>
              <w:spacing w:after="0" w:before="0"/>
            </w:pPr>
            <w:r>
              <w:rPr>
                <w:rFonts w:ascii="Arial" w:cs="Arial" w:eastAsia="Arial" w:hAnsi="Arial"/>
                <w:color w:val="1A1A1A"/>
                <w:sz w:val="21"/>
                <w:szCs w:val="21"/>
              </w:rPr>
              <w:t xml:space="preserve">Propy's $100M title company acquisition strategy, on-chain deed recording, and DeFi mortgage vault development create a rare alignment where a single partner could cover title verification, deed recording, AND lending infrastructure. Frame the first conversation as co-development — not vendor procurement.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Propy</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Propy</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285A44"/>
                      <w:sz w:val="17"/>
                      <w:szCs w:val="17"/>
                      <w:shd w:fill="ECF4EF" w:val="clear"/>
                    </w:rPr>
                    <w:t xml:space="preserve">  Blockchain Title + Real Estate Platform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285A44"/>
                      <w:sz w:val="16"/>
                      <w:szCs w:val="16"/>
                      <w:shd w:fill="ECF4EF" w:val="clear"/>
                    </w:rPr>
                    <w:t xml:space="preserve">  PRIORITY 1  </w:t>
                  </w:r>
                </w:p>
              </w:tc>
            </w:tr>
          </w:tbl>
          <w:p>
            <w:pPr>
              <w:spacing w:after="80" w:before="0"/>
            </w:pPr>
            <w:r>
              <w:t xml:space="preserve"/>
            </w:r>
          </w:p>
          <w:p>
            <w:pPr>
              <w:spacing w:after="40" w:before="0"/>
            </w:pPr>
            <w:r>
              <w:rPr>
                <w:rFonts w:ascii="Arial" w:cs="Arial" w:eastAsia="Arial" w:hAnsi="Arial"/>
                <w:i/>
                <w:iCs/>
                <w:color w:val="3A7A5C"/>
                <w:sz w:val="18"/>
                <w:szCs w:val="18"/>
              </w:rPr>
              <w:t xml:space="preserve">propy.com</w:t>
            </w:r>
          </w:p>
          <w:p>
            <w:pPr>
              <w:spacing w:after="80" w:before="0"/>
            </w:pPr>
            <w:r>
              <w:rPr>
                <w:rFonts w:ascii="Arial" w:cs="Arial" w:eastAsia="Arial" w:hAnsi="Arial"/>
                <w:color w:val="5A6876"/>
                <w:sz w:val="20"/>
                <w:szCs w:val="20"/>
              </w:rPr>
              <w:t xml:space="preserve">Blockchain real estate platform facilitating on-chain title recording, crypto escrow, and automated closings. Announced $100M expansion to acquire mid-size U.S. title companies (CA, TX, FL). Launching DeFi mortgage vault with Morpho Labs. $4B+ in 2025 transactions. $14M Miami commercial deal settled in USDT in under 60 seconds.</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Title verification + on-chain deed recording + DeFi lending infrastructure — one relationship replaces three separate vendors. Co-development opportunity for the primary home product.</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and expanding aggressively</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CEO Natalia Karayaneva is active on X/LinkedIn. Frame DeedFlow as the homeowner-outbound complement to their homeowner-inbound transaction platform.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Hometap</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Hometap</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B08A26"/>
                      <w:sz w:val="17"/>
                      <w:szCs w:val="17"/>
                      <w:shd w:fill="FAF4E4" w:val="clear"/>
                    </w:rPr>
                    <w:t xml:space="preserve">  Home Equity Sharing · Referral Source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hometap.com</w:t>
            </w:r>
          </w:p>
          <w:p>
            <w:pPr>
              <w:spacing w:after="80" w:before="0"/>
            </w:pPr>
            <w:r>
              <w:rPr>
                <w:rFonts w:ascii="Arial" w:cs="Arial" w:eastAsia="Arial" w:hAnsi="Arial"/>
                <w:color w:val="5A6876"/>
                <w:sz w:val="20"/>
                <w:szCs w:val="20"/>
              </w:rPr>
              <w:t xml:space="preserve">Boston-based home equity sharing platform with $1B+ invested. Has built the most sophisticated homeowner equity origination pipeline in the U.S. — AVM integration, homeowner education funnels, underwriting, and title workflows.</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White-label or referral partnership: Hometap offers DeedFlow to homeowners who want liquidity without selling equity to an institution. DeedFlow becomes their 'no-dilution' product option.</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no partnership yet</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DeedFlow competes with their model but benefits from their origination infrastructure. Approach after Wyoming pilot is established.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Point</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Point</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B08A26"/>
                      <w:sz w:val="17"/>
                      <w:szCs w:val="17"/>
                      <w:shd w:fill="FAF4E4" w:val="clear"/>
                    </w:rPr>
                    <w:t xml:space="preserve">  Home Equity Sharing · Referral Source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point.com</w:t>
            </w:r>
          </w:p>
          <w:p>
            <w:pPr>
              <w:spacing w:after="80" w:before="0"/>
            </w:pPr>
            <w:r>
              <w:rPr>
                <w:rFonts w:ascii="Arial" w:cs="Arial" w:eastAsia="Arial" w:hAnsi="Arial"/>
                <w:color w:val="5A6876"/>
                <w:sz w:val="20"/>
                <w:szCs w:val="20"/>
              </w:rPr>
              <w:t xml:space="preserve">San Francisco-based home equity sharing platform with $1B+ deployed. Strong West Coast presence with sophisticated homeowner acquisition funnel and proprietary AVM integration.</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Same referral model as Hometap — DeedFlow as the alternative for homeowners who won't dilute equity. Warm lead pipeline from their homeowner rejection funnel.</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no partnership yet</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Approach simultaneously with Hometap. Both are potential acqui-hire or distribution targets as DeedFlow scales.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Opendoor</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Opendoor</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8B6E52"/>
                      <w:sz w:val="17"/>
                      <w:szCs w:val="17"/>
                      <w:shd w:fill="F7F0E8" w:val="clear"/>
                    </w:rPr>
                    <w:t xml:space="preserve">  iBuyer · Homeowner Referral Funnel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opendoor.com</w:t>
            </w:r>
          </w:p>
          <w:p>
            <w:pPr>
              <w:spacing w:after="80" w:before="0"/>
            </w:pPr>
            <w:r>
              <w:rPr>
                <w:rFonts w:ascii="Arial" w:cs="Arial" w:eastAsia="Arial" w:hAnsi="Arial"/>
                <w:color w:val="5A6876"/>
                <w:sz w:val="20"/>
                <w:szCs w:val="20"/>
              </w:rPr>
              <w:t xml:space="preserve">Largest U.S. iBuyer platform operating in 50+ markets. Has massive homeowner data sets including equity-rich homeowners actively considering selling. Earns nothing from homeowners who don't transact.</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Co-marketing: DeedFlow as the alternative for homeowners who explore selling but aren't ready to exit. Opendoor earns referral fee; DeedFlow gains warm, pre-qualified, equity-rich leads.</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no partnership yet</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The homeowner who gets an Opendoor offer but doesn't pull the trigger is DeedFlow's exact customer. Opendoor currently loses that person.</w:t>
            </w:r>
          </w:p>
        </w:tc>
      </w:tr>
    </w:tbl>
    <w:p>
      <w:pPr>
        <w:spacing w:after="80" w:before="0"/>
      </w:pPr>
      <w:r>
        <w:t xml:space="preserve"/>
      </w:r>
    </w:p>
    <w:p>
      <w:pPr>
        <w:pStyle w:val="Heading2"/>
        <w:spacing w:after="100" w:before="300"/>
      </w:pPr>
      <w:r>
        <w:rPr>
          <w:rFonts w:ascii="Arial" w:cs="Arial" w:eastAsia="Arial" w:hAnsi="Arial"/>
          <w:b/>
          <w:bCs/>
          <w:color w:val="285A44"/>
          <w:sz w:val="26"/>
          <w:szCs w:val="26"/>
        </w:rPr>
        <w:t xml:space="preserve">Investment Property Partners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Roofstock onChain</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Roofstock onChain</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285A44"/>
                      <w:sz w:val="17"/>
                      <w:szCs w:val="17"/>
                      <w:shd w:fill="ECF4EF" w:val="clear"/>
                    </w:rPr>
                    <w:t xml:space="preserve">  SFR Marketplace · Blockchain RE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B08A26"/>
                      <w:sz w:val="16"/>
                      <w:szCs w:val="16"/>
                      <w:shd w:fill="FAF4E4" w:val="clear"/>
                    </w:rPr>
                    <w:t xml:space="preserve">  PRIORITY 2  </w:t>
                  </w:r>
                </w:p>
              </w:tc>
            </w:tr>
          </w:tbl>
          <w:p>
            <w:pPr>
              <w:spacing w:after="80" w:before="0"/>
            </w:pPr>
            <w:r>
              <w:t xml:space="preserve"/>
            </w:r>
          </w:p>
          <w:p>
            <w:pPr>
              <w:spacing w:after="40" w:before="0"/>
            </w:pPr>
            <w:r>
              <w:rPr>
                <w:rFonts w:ascii="Arial" w:cs="Arial" w:eastAsia="Arial" w:hAnsi="Arial"/>
                <w:i/>
                <w:iCs/>
                <w:color w:val="3A7A5C"/>
                <w:sz w:val="18"/>
                <w:szCs w:val="18"/>
              </w:rPr>
              <w:t xml:space="preserve">roofstock.com/onchain</w:t>
            </w:r>
          </w:p>
          <w:p>
            <w:pPr>
              <w:spacing w:after="80" w:before="0"/>
            </w:pPr>
            <w:r>
              <w:rPr>
                <w:rFonts w:ascii="Arial" w:cs="Arial" w:eastAsia="Arial" w:hAnsi="Arial"/>
                <w:color w:val="5A6876"/>
                <w:sz w:val="20"/>
                <w:szCs w:val="20"/>
              </w:rPr>
              <w:t xml:space="preserve">One of the most recognized single-family rental marketplaces in the U.S. with blockchain-based property trading modules already live through Roofstock onChain. Core strengths: property inventory, institutional underwriting, turnkey rental management, AVM data.</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Investment property origination pipeline. DeedFlow's triple-stack model (rent + fund yield + tokenized appreciation) becomes a premium product Roofstock offers its institutional buyer base.</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blockchain modules — no partnership yet</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Roofstock brings deal volume; DeedFlow brings yield amplification. Natural co-branded or white-label deal.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Lofty.ai</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Lofty.ai</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285A44"/>
                      <w:sz w:val="17"/>
                      <w:szCs w:val="17"/>
                      <w:shd w:fill="ECF4EF" w:val="clear"/>
                    </w:rPr>
                    <w:t xml:space="preserve">  Tokenized Rental · Algorand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lofty.ai</w:t>
            </w:r>
          </w:p>
          <w:p>
            <w:pPr>
              <w:spacing w:after="80" w:before="0"/>
            </w:pPr>
            <w:r>
              <w:rPr>
                <w:rFonts w:ascii="Arial" w:cs="Arial" w:eastAsia="Arial" w:hAnsi="Arial"/>
                <w:color w:val="5A6876"/>
                <w:sz w:val="20"/>
                <w:szCs w:val="20"/>
              </w:rPr>
              <w:t xml:space="preserve">Tokenizes U.S. rental properties into fractional tokens on Algorand with daily rental yields and instant liquidity. 150+ properties, 40 markets, $50M tokenized value (mid-2025). In 2026, actively seeking DeFi yield farming partnerships to boost returns to 12-15% APR.</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DeedFlow's fund yield layer as an add-on to Lofty's existing rental income — Lofty gets higher yields for investors; DeedFlow gets distribution into 150+ properties without building origination.</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actively seeking yield partnerships</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Lofty's 2026 goal of 12-15% APR via DeFi partnerships is exactly what DeedFlow delivers. They are looking for this product.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RealT</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RealT</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8B6E52"/>
                      <w:sz w:val="17"/>
                      <w:szCs w:val="17"/>
                      <w:shd w:fill="F7F0E8" w:val="clear"/>
                    </w:rPr>
                    <w:t xml:space="preserve">  Tokenized RE · Ethereum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realt.co</w:t>
            </w:r>
          </w:p>
          <w:p>
            <w:pPr>
              <w:spacing w:after="80" w:before="0"/>
            </w:pPr>
            <w:r>
              <w:rPr>
                <w:rFonts w:ascii="Arial" w:cs="Arial" w:eastAsia="Arial" w:hAnsi="Arial"/>
                <w:color w:val="5A6876"/>
                <w:sz w:val="20"/>
                <w:szCs w:val="20"/>
              </w:rPr>
              <w:t xml:space="preserve">Pioneer in fractional tokenized U.S. real estate on Ethereum. 970+ properties, tokens from $50, daily dividend distribution, proven secondary market. 88% of users invest under $5K — retail-focused but with large property volume.</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Distribution partner for investment property marketplace. Secondary market liquidity for DEED tokens. Proven dividend distribution infrastructure DeedFlow can learn from.</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$150M+ tokenized (2025)</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Different customer profile (retail vs. DeedFlow's accredited investors) but proven operational playbook that DeedFlow should study carefully.</w:t>
            </w:r>
          </w:p>
        </w:tc>
      </w:tr>
    </w:tbl>
    <w:p>
      <w:pPr>
        <w:spacing w:after="80" w:before="0"/>
      </w:pPr>
      <w:r>
        <w:t xml:space="preserve"/>
      </w:r>
    </w:p>
    <w:p>
      <w:pPr>
        <w:pBdr>
          <w:bottom w:val="single" w:color="E4E9ED" w:sz="6" w:space="1"/>
        </w:pBdr>
        <w:spacing w:after="240" w:before="240"/>
      </w:pPr>
      <w:r>
        <w:t xml:space="preserve"/>
      </w:r>
    </w:p>
    <w:p>
      <w:pPr>
        <w:pStyle w:val="Heading1"/>
        <w:pBdr>
          <w:bottom w:val="single" w:color="285A44" w:sz="10" w:space="8"/>
        </w:pBdr>
        <w:spacing w:after="140" w:before="400"/>
      </w:pPr>
      <w:r>
        <w:rPr>
          <w:rFonts w:ascii="Arial" w:cs="Arial" w:eastAsia="Arial" w:hAnsi="Arial"/>
          <w:b/>
          <w:bCs/>
          <w:color w:val="18242F"/>
          <w:sz w:val="34"/>
          <w:szCs w:val="34"/>
        </w:rPr>
        <w:t xml:space="preserve">Category 3 — Infrastructure &amp; Data Partners</w:t>
      </w:r>
    </w:p>
    <w:p>
      <w:pPr>
        <w:spacing w:after="100" w:before="60"/>
      </w:pPr>
      <w:r>
        <w:rPr>
          <w:rFonts w:ascii="Arial" w:cs="Arial" w:eastAsia="Arial" w:hAnsi="Arial"/>
          <w:color w:val="1A1A1A"/>
          <w:sz w:val="22"/>
          <w:szCs w:val="22"/>
        </w:rPr>
        <w:t xml:space="preserve">These are not banks or real estate companies but are operationally essential — they provide the data, compliance, and title insurance infrastructure that makes tokenization legally sound and commercially credible. Several are Priority 1 and must be contracted before the first homeowner is onboarded.</w:t>
      </w:r>
    </w:p>
    <w:p>
      <w:pPr>
        <w:spacing w:after="80" w:before="0"/>
      </w:pPr>
      <w:r>
        <w:t xml:space="preserve"/>
      </w:r>
    </w:p>
    <w:p>
      <w:pPr>
        <w:pStyle w:val="Heading2"/>
        <w:spacing w:after="100" w:before="300"/>
      </w:pPr>
      <w:r>
        <w:rPr>
          <w:rFonts w:ascii="Arial" w:cs="Arial" w:eastAsia="Arial" w:hAnsi="Arial"/>
          <w:b/>
          <w:bCs/>
          <w:color w:val="285A44"/>
          <w:sz w:val="26"/>
          <w:szCs w:val="26"/>
        </w:rPr>
        <w:t xml:space="preserve">Property Data &amp; Valuation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CoreLogic</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CoreLogic</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285A44"/>
                      <w:sz w:val="17"/>
                      <w:szCs w:val="17"/>
                      <w:shd w:fill="ECF4EF" w:val="clear"/>
                    </w:rPr>
                    <w:t xml:space="preserve">  AVM · Property Data · Priority 1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285A44"/>
                      <w:sz w:val="16"/>
                      <w:szCs w:val="16"/>
                      <w:shd w:fill="ECF4EF" w:val="clear"/>
                    </w:rPr>
                    <w:t xml:space="preserve">  PRIORITY 1  </w:t>
                  </w:r>
                </w:p>
              </w:tc>
            </w:tr>
          </w:tbl>
          <w:p>
            <w:pPr>
              <w:spacing w:after="80" w:before="0"/>
            </w:pPr>
            <w:r>
              <w:t xml:space="preserve"/>
            </w:r>
          </w:p>
          <w:p>
            <w:pPr>
              <w:spacing w:after="40" w:before="0"/>
            </w:pPr>
            <w:r>
              <w:rPr>
                <w:rFonts w:ascii="Arial" w:cs="Arial" w:eastAsia="Arial" w:hAnsi="Arial"/>
                <w:i/>
                <w:iCs/>
                <w:color w:val="3A7A5C"/>
                <w:sz w:val="18"/>
                <w:szCs w:val="18"/>
              </w:rPr>
              <w:t xml:space="preserve">corelogic.com</w:t>
            </w:r>
          </w:p>
          <w:p>
            <w:pPr>
              <w:spacing w:after="80" w:before="0"/>
            </w:pPr>
            <w:r>
              <w:rPr>
                <w:rFonts w:ascii="Arial" w:cs="Arial" w:eastAsia="Arial" w:hAnsi="Arial"/>
                <w:color w:val="5A6876"/>
                <w:sz w:val="20"/>
                <w:szCs w:val="20"/>
              </w:rPr>
              <w:t xml:space="preserve">Industry standard for automated property valuation in the U.S. residential market. DeedFlow's token values are pegged to AVM outputs — stale or inaccurate valuations directly impair the platform's legal structure and homeowner trust.</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Token valuation integrity; annual AVM refresh triggers; margin call threshold data; property data for underwriting homeowner eligibility.</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data licensing standard for fintech platforms</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Non-negotiable before launch. Alternatives: Black Knight, Attom Data. CoreLogic preferred for Wyoming market coverage.</w:t>
            </w:r>
          </w:p>
        </w:tc>
      </w:tr>
    </w:tbl>
    <w:p>
      <w:pPr>
        <w:spacing w:after="80" w:before="0"/>
      </w:pPr>
      <w:r>
        <w:t xml:space="preserve"/>
      </w:r>
    </w:p>
    <w:p>
      <w:pPr>
        <w:pStyle w:val="Heading2"/>
        <w:spacing w:after="100" w:before="300"/>
      </w:pPr>
      <w:r>
        <w:rPr>
          <w:rFonts w:ascii="Arial" w:cs="Arial" w:eastAsia="Arial" w:hAnsi="Arial"/>
          <w:b/>
          <w:bCs/>
          <w:color w:val="285A44"/>
          <w:sz w:val="26"/>
          <w:szCs w:val="26"/>
        </w:rPr>
        <w:t xml:space="preserve">Tokenization Technology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Securitize</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Securitize</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285A44"/>
                      <w:sz w:val="17"/>
                      <w:szCs w:val="17"/>
                      <w:shd w:fill="ECF4EF" w:val="clear"/>
                    </w:rPr>
                    <w:t xml:space="preserve">  SEC-Registered Transfer Agent · Token Issuance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B08A26"/>
                      <w:sz w:val="16"/>
                      <w:szCs w:val="16"/>
                      <w:shd w:fill="FAF4E4" w:val="clear"/>
                    </w:rPr>
                    <w:t xml:space="preserve">  PRIORITY 2  </w:t>
                  </w:r>
                </w:p>
              </w:tc>
            </w:tr>
          </w:tbl>
          <w:p>
            <w:pPr>
              <w:spacing w:after="80" w:before="0"/>
            </w:pPr>
            <w:r>
              <w:t xml:space="preserve"/>
            </w:r>
          </w:p>
          <w:p>
            <w:pPr>
              <w:spacing w:after="40" w:before="0"/>
            </w:pPr>
            <w:r>
              <w:rPr>
                <w:rFonts w:ascii="Arial" w:cs="Arial" w:eastAsia="Arial" w:hAnsi="Arial"/>
                <w:i/>
                <w:iCs/>
                <w:color w:val="3A7A5C"/>
                <w:sz w:val="18"/>
                <w:szCs w:val="18"/>
              </w:rPr>
              <w:t xml:space="preserve">securitize.io</w:t>
            </w:r>
          </w:p>
          <w:p>
            <w:pPr>
              <w:spacing w:after="80" w:before="0"/>
            </w:pPr>
            <w:r>
              <w:rPr>
                <w:rFonts w:ascii="Arial" w:cs="Arial" w:eastAsia="Arial" w:hAnsi="Arial"/>
                <w:color w:val="5A6876"/>
                <w:sz w:val="20"/>
                <w:szCs w:val="20"/>
              </w:rPr>
              <w:t xml:space="preserve">Leading SEC-registered transfer agent and tokenization platform in the U.S. Used by BlackRock for its BUIDL tokenized fund. Provides compliance-native token issuance with KYC/AML, transfer restrictions, and investor eligibility baked into the token layer.</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White-label tokenization backbone for DEED token issuance, cap table management, Reg D investor verification, and compliant transfer restrictions.</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processing billions in tokenized securities</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The institutional gold standard. If BlackRock uses Securitize, DeedFlow's institutional partners will be comfortable with it. Alternative: Zoniqx (ERC-7518).</w:t>
            </w:r>
          </w:p>
        </w:tc>
      </w:tr>
    </w:tbl>
    <w:p>
      <w:pPr>
        <w:spacing w:after="80" w:before="0"/>
      </w:pPr>
      <w:r>
        <w:t xml:space="preserve"/>
      </w:r>
    </w:p>
    <w:p>
      <w:pPr>
        <w:pStyle w:val="Heading2"/>
        <w:spacing w:after="100" w:before="300"/>
      </w:pPr>
      <w:r>
        <w:rPr>
          <w:rFonts w:ascii="Arial" w:cs="Arial" w:eastAsia="Arial" w:hAnsi="Arial"/>
          <w:b/>
          <w:bCs/>
          <w:color w:val="285A44"/>
          <w:sz w:val="26"/>
          <w:szCs w:val="26"/>
        </w:rPr>
        <w:t xml:space="preserve">Compliance &amp; AML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Chainalysis</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Chainalysis</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285A44"/>
                      <w:sz w:val="17"/>
                      <w:szCs w:val="17"/>
                      <w:shd w:fill="ECF4EF" w:val="clear"/>
                    </w:rPr>
                    <w:t xml:space="preserve">  Blockchain Analytics · AML/BSA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285A44"/>
                      <w:sz w:val="16"/>
                      <w:szCs w:val="16"/>
                      <w:shd w:fill="ECF4EF" w:val="clear"/>
                    </w:rPr>
                    <w:t xml:space="preserve">  PRIORITY 1  </w:t>
                  </w:r>
                </w:p>
              </w:tc>
            </w:tr>
          </w:tbl>
          <w:p>
            <w:pPr>
              <w:spacing w:after="80" w:before="0"/>
            </w:pPr>
            <w:r>
              <w:t xml:space="preserve"/>
            </w:r>
          </w:p>
          <w:p>
            <w:pPr>
              <w:spacing w:after="40" w:before="0"/>
            </w:pPr>
            <w:r>
              <w:rPr>
                <w:rFonts w:ascii="Arial" w:cs="Arial" w:eastAsia="Arial" w:hAnsi="Arial"/>
                <w:i/>
                <w:iCs/>
                <w:color w:val="3A7A5C"/>
                <w:sz w:val="18"/>
                <w:szCs w:val="18"/>
              </w:rPr>
              <w:t xml:space="preserve">chainalysis.com</w:t>
            </w:r>
          </w:p>
          <w:p>
            <w:pPr>
              <w:spacing w:after="80" w:before="0"/>
            </w:pPr>
            <w:r>
              <w:rPr>
                <w:rFonts w:ascii="Arial" w:cs="Arial" w:eastAsia="Arial" w:hAnsi="Arial"/>
                <w:color w:val="5A6876"/>
                <w:sz w:val="20"/>
                <w:szCs w:val="20"/>
              </w:rPr>
              <w:t xml:space="preserve">Industry standard for blockchain transaction monitoring and compliance. Used by DOJ, IRS, and most institutional crypto platforms. FinCEN BSA compliance for digital asset platforms requires blockchain analytics — this is not optional.</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On-chain transaction monitoring; OFAC sanctions screening; SAR filing support; ongoing AML program compliance for all DEED token activity.</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enterprise contracts available</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Real estate is historically high-risk for money laundering. Regulators will audit the AML program. Chainalysis is the defensible choice. Alternative: Elliptic.</w:t>
            </w:r>
          </w:p>
        </w:tc>
      </w:tr>
    </w:tbl>
    <w:p>
      <w:pPr>
        <w:spacing w:after="80" w:before="0"/>
      </w:pPr>
      <w:r>
        <w:t xml:space="preserve"/>
      </w:r>
    </w:p>
    <w:p>
      <w:pPr>
        <w:pStyle w:val="Heading2"/>
        <w:spacing w:after="100" w:before="300"/>
      </w:pPr>
      <w:r>
        <w:rPr>
          <w:rFonts w:ascii="Arial" w:cs="Arial" w:eastAsia="Arial" w:hAnsi="Arial"/>
          <w:b/>
          <w:bCs/>
          <w:color w:val="285A44"/>
          <w:sz w:val="26"/>
          <w:szCs w:val="26"/>
        </w:rPr>
        <w:t xml:space="preserve">Title Insurance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First American Title</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First American Title</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8B6E52"/>
                      <w:sz w:val="17"/>
                      <w:szCs w:val="17"/>
                      <w:shd w:fill="F7F0E8" w:val="clear"/>
                    </w:rPr>
                    <w:t xml:space="preserve">  National Title Insurance · Endorsement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firstam.com</w:t>
            </w:r>
          </w:p>
          <w:p>
            <w:pPr>
              <w:spacing w:after="80" w:before="0"/>
            </w:pPr>
            <w:r>
              <w:rPr>
                <w:rFonts w:ascii="Arial" w:cs="Arial" w:eastAsia="Arial" w:hAnsi="Arial"/>
                <w:color w:val="5A6876"/>
                <w:sz w:val="20"/>
                <w:szCs w:val="20"/>
              </w:rPr>
              <w:t xml:space="preserve">One of two dominant U.S. national title insurance providers and the more innovation-forward of the pair. A custom title insurance endorsement that explicitly covers the DeedFlow tokenized equity structure is a significant legal and marketing asset.</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Custom title insurance endorsement confirming the token layer does not create an impermissible lien or title defect. Covers the due-on-sale risk gap for mortgaged properties.</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no partnership yet</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Propy's title acquisitions may provide a warm introduction. Wyoming real estate counsel can also initiate. Phase 2 before national expansion.</w:t>
            </w:r>
          </w:p>
        </w:tc>
      </w:tr>
    </w:tbl>
    <w:p>
      <w:pPr>
        <w:spacing w:after="80" w:before="0"/>
      </w:pPr>
      <w:r>
        <w:t xml:space="preserve"/>
      </w:r>
    </w:p>
    <w:p>
      <w:pPr>
        <w:pBdr>
          <w:bottom w:val="single" w:color="E4E9ED" w:sz="6" w:space="1"/>
        </w:pBdr>
        <w:spacing w:after="240" w:before="240"/>
      </w:pPr>
      <w:r>
        <w:t xml:space="preserve"/>
      </w:r>
    </w:p>
    <w:p>
      <w:pPr>
        <w:pStyle w:val="Heading1"/>
        <w:pBdr>
          <w:bottom w:val="single" w:color="285A44" w:sz="10" w:space="8"/>
        </w:pBdr>
        <w:spacing w:after="140" w:before="400"/>
      </w:pPr>
      <w:r>
        <w:rPr>
          <w:rFonts w:ascii="Arial" w:cs="Arial" w:eastAsia="Arial" w:hAnsi="Arial"/>
          <w:b/>
          <w:bCs/>
          <w:color w:val="18242F"/>
          <w:sz w:val="34"/>
          <w:szCs w:val="34"/>
        </w:rPr>
        <w:t xml:space="preserve">Global Expansion Partner Considerations</w:t>
      </w:r>
    </w:p>
    <w:p>
      <w:pPr>
        <w:spacing w:after="100" w:before="60"/>
      </w:pPr>
      <w:r>
        <w:rPr>
          <w:rFonts w:ascii="Arial" w:cs="Arial" w:eastAsia="Arial" w:hAnsi="Arial"/>
          <w:color w:val="1A1A1A"/>
          <w:sz w:val="22"/>
          <w:szCs w:val="22"/>
        </w:rPr>
        <w:t xml:space="preserve">As DeedFlow expands beyond Wyoming and the U.S., each jurisdiction requires local banking, title, and distribution partnerships. These are Phase 3+ priorities and should be actively researched beginning in Year 2.</w:t>
      </w:r>
    </w:p>
    <w:p>
      <w:pPr>
        <w:spacing w:after="80" w:before="0"/>
      </w:pPr>
      <w:r>
        <w:t xml:space="preserve"/>
      </w:r>
    </w:p>
    <w:p>
      <w:pPr>
        <w:pStyle w:val="Heading2"/>
        <w:spacing w:after="100" w:before="300"/>
      </w:pPr>
      <w:r>
        <w:rPr>
          <w:rFonts w:ascii="Arial" w:cs="Arial" w:eastAsia="Arial" w:hAnsi="Arial"/>
          <w:b/>
          <w:bCs/>
          <w:color w:val="285A44"/>
          <w:sz w:val="26"/>
          <w:szCs w:val="26"/>
        </w:rPr>
        <w:t xml:space="preserve">Singapore — Phase 3 Priority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Fraxtor</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Fraxtor</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285A44"/>
                      <w:sz w:val="17"/>
                      <w:szCs w:val="17"/>
                      <w:shd w:fill="ECF4EF" w:val="clear"/>
                    </w:rPr>
                    <w:t xml:space="preserve">  MAS-Licensed Tokenization · Singapore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fraxtor.com</w:t>
            </w:r>
          </w:p>
          <w:p>
            <w:pPr>
              <w:spacing w:after="80" w:before="0"/>
            </w:pPr>
            <w:r>
              <w:rPr>
                <w:rFonts w:ascii="Arial" w:cs="Arial" w:eastAsia="Arial" w:hAnsi="Arial"/>
                <w:color w:val="5A6876"/>
                <w:sz w:val="20"/>
                <w:szCs w:val="20"/>
              </w:rPr>
              <w:t xml:space="preserve">MAS-licensed Singapore digital securities platform tokenizing real estate assets. Residential development is the most popular asset type. Proven platform with Singapore accredited investor access and secondary market via SDAX.</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Distribution and licensing partner for Singapore market entry. DeedFlow's fund yield layer as enhancement to Fraxtor's existing investment property products.</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MAS-licensed</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Existing regulatory license + investor base = fastest path to Singapore market without obtaining own MAS CMS license immediately.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ADDX</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ADDX</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285A44"/>
                      <w:sz w:val="17"/>
                      <w:szCs w:val="17"/>
                      <w:shd w:fill="ECF4EF" w:val="clear"/>
                    </w:rPr>
                    <w:t xml:space="preserve">  MAS-Licensed · Tokenized REIT / Securities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addx.co</w:t>
            </w:r>
          </w:p>
          <w:p>
            <w:pPr>
              <w:spacing w:after="80" w:before="0"/>
            </w:pPr>
            <w:r>
              <w:rPr>
                <w:rFonts w:ascii="Arial" w:cs="Arial" w:eastAsia="Arial" w:hAnsi="Arial"/>
                <w:color w:val="5A6876"/>
                <w:sz w:val="20"/>
                <w:szCs w:val="20"/>
              </w:rPr>
              <w:t xml:space="preserve">Singapore's leading private market exchange for digital securities. MAS Capital Markets Services licensed. Backed by SGX, Temasek, and others. Tokenized REIT shares listed in 2025. BCG partnership on tokenization market research.</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Institutional distribution partner for Singapore. Access to family offices, wealth managers, and institutional investors via existing regulated platform.</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institutional grade</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ADDX reaches the family office capital that DeedFlow's fund vehicle ultimately needs. Natural co-listing or fund distribution partnership.</w:t>
            </w:r>
          </w:p>
        </w:tc>
      </w:tr>
    </w:tbl>
    <w:p>
      <w:pPr>
        <w:spacing w:after="80" w:before="0"/>
      </w:pPr>
      <w:r>
        <w:t xml:space="preserve"/>
      </w:r>
    </w:p>
    <w:p>
      <w:pPr>
        <w:pStyle w:val="Heading2"/>
        <w:spacing w:after="100" w:before="300"/>
      </w:pPr>
      <w:r>
        <w:rPr>
          <w:rFonts w:ascii="Arial" w:cs="Arial" w:eastAsia="Arial" w:hAnsi="Arial"/>
          <w:b/>
          <w:bCs/>
          <w:color w:val="285A44"/>
          <w:sz w:val="26"/>
          <w:szCs w:val="26"/>
        </w:rPr>
        <w:t xml:space="preserve">UAE / Dubai — Phase 3 (Post-Recovery)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Prypco Mint</w:t>
                  </w:r>
                </w:p>
              </w:tc>
            </w:tr>
          </w:tbl>
          <w:p/>
        </w:tc>
        <w:tc>
          <w:tcPr>
            <w:tcW w:type="dxa" w:w="7360"/>
            <w:tcBorders>
              <w:top w:val="single" w:color="E4E9ED" w:sz="1"/>
              <w:left w:val="single" w:color="E4E9ED" w:sz="1"/>
              <w:bottom w:val="single" w:color="E4E9ED" w:sz="1"/>
              <w:right w:val="single" w:color="E4E9ED" w:sz="1"/>
            </w:tcBorders>
            <w:shd w:fill="FFFFFF"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Prypco Mint</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FFFFF" w:val="clear"/>
                </w:tcPr>
                <w:p>
                  <w:pPr>
                    <w:spacing w:after="60" w:before="0"/>
                  </w:pPr>
                  <w:r>
                    <w:rPr>
                      <w:rFonts w:ascii="Arial" w:cs="Arial" w:eastAsia="Arial" w:hAnsi="Arial"/>
                      <w:b/>
                      <w:bCs/>
                      <w:color w:val="B08A26"/>
                      <w:sz w:val="17"/>
                      <w:szCs w:val="17"/>
                      <w:shd w:fill="FAF4E4" w:val="clear"/>
                    </w:rPr>
                    <w:t xml:space="preserve">  DLD-Integrated · Dubai Tokenization  </w:t>
                  </w:r>
                </w:p>
              </w:tc>
              <w:tc>
                <w:tcPr>
                  <w:tcW w:type="dxa" w:w="3500"/>
                  <w:tcBorders>
                    <w:top w:val="none" w:color="FFFFFF" w:sz="0"/>
                    <w:left w:val="none" w:color="FFFFFF" w:sz="0"/>
                    <w:bottom w:val="none" w:color="FFFFFF" w:sz="0"/>
                    <w:right w:val="none" w:color="FFFFFF" w:sz="0"/>
                  </w:tcBorders>
                  <w:shd w:fill="FFFFFF"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prypco.com</w:t>
            </w:r>
          </w:p>
          <w:p>
            <w:pPr>
              <w:spacing w:after="80" w:before="0"/>
            </w:pPr>
            <w:r>
              <w:rPr>
                <w:rFonts w:ascii="Arial" w:cs="Arial" w:eastAsia="Arial" w:hAnsi="Arial"/>
                <w:color w:val="5A6876"/>
                <w:sz w:val="20"/>
                <w:szCs w:val="20"/>
              </w:rPr>
              <w:t xml:space="preserve">First DLD-integrated real estate tokenization platform in Dubai. Minimum investment AED 2,000 (~$540). Activity initially limited to UAE ID holders. Integrated with Dubai Land Department's blockchain registration system.</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Local distribution and DLD integration partner for Dubai market entry. DeedFlow investment property product on their tokenized property marketplace.</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DLD Phase 1 live</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DLD integration is the missing piece globally. Prypco has it. Market recovery expected Q3 2026 post-ceasefire. Time the entry accordingly.</w:t>
            </w:r>
          </w:p>
        </w:tc>
      </w:tr>
    </w:tbl>
    <w:p>
      <w:pPr>
        <w:spacing w:after="80" w:before="0"/>
      </w:pPr>
      <w:r>
        <w:t xml:space="preserve"/>
      </w:r>
    </w:p>
    <w:p>
      <w:pPr>
        <w:pStyle w:val="Heading2"/>
        <w:spacing w:after="100" w:before="300"/>
      </w:pPr>
      <w:r>
        <w:rPr>
          <w:rFonts w:ascii="Arial" w:cs="Arial" w:eastAsia="Arial" w:hAnsi="Arial"/>
          <w:b/>
          <w:bCs/>
          <w:color w:val="285A44"/>
          <w:sz w:val="26"/>
          <w:szCs w:val="26"/>
        </w:rPr>
        <w:t xml:space="preserve">UK — Phase 2-3</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4E9ED" w:sz="1"/>
              <w:left w:val="single" w:color="E4E9ED" w:sz="1"/>
              <w:bottom w:val="single" w:color="E4E9ED" w:sz="1"/>
              <w:right w:val="single" w:color="E4E9ED" w:sz="1"/>
            </w:tcBorders>
            <w:shd w:fill="FFFFFF" w:val="clear"/>
            <w:tcMar>
              <w:top w:type="dxa" w:w="100"/>
              <w:left w:type="dxa" w:w="120"/>
              <w:bottom w:type="dxa" w:w="100"/>
              <w:right w:type="dxa" w:w="120"/>
            </w:tcMar>
            <w:vAlign w:val="center"/>
          </w:tcPr>
          <w:p>
            <w:pPr>
              <w:spacing w:after="0" w:before="60"/>
              <w:jc w:val="center"/>
            </w:pPr>
            <w:r>
              <w:rPr>
                <w:rFonts w:ascii="Arial" w:cs="Arial" w:eastAsia="Arial" w:hAnsi="Arial"/>
                <w:sz w:val="18"/>
                <w:szCs w:val="18"/>
              </w:rPr>
              <w:t xml:space="preserve"/>
            </w:r>
          </w:p>
          <w:tbl>
            <w:tblPr>
              <w:tblW w:type="dxa" w:w="1760"/>
              <w:tblBorders>
                <w:top w:val="single" w:color="D4DCE3" w:sz="4"/>
                <w:left w:val="single" w:color="D4DCE3" w:sz="4"/>
                <w:bottom w:val="single" w:color="D4DCE3" w:sz="4"/>
                <w:right w:val="single" w:color="D4DCE3" w:sz="4"/>
                <w:insideH w:val="single" w:color="auto" w:sz="4"/>
                <w:insideV w:val="single" w:color="auto" w:sz="4"/>
              </w:tblBorders>
            </w:tblPr>
            <w:tblGrid>
              <w:gridCol w:w="1760"/>
            </w:tblGrid>
            <w:tr>
              <w:tc>
                <w:tcPr>
                  <w:tcW w:type="dxa" w:w="1760"/>
                  <w:tcBorders>
                    <w:top w:val="none" w:color="FFFFFF" w:sz="0"/>
                    <w:left w:val="none" w:color="FFFFFF" w:sz="0"/>
                    <w:bottom w:val="none" w:color="FFFFFF" w:sz="0"/>
                    <w:right w:val="none" w:color="FFFFFF" w:sz="0"/>
                  </w:tcBorders>
                  <w:shd w:fill="F2F5F7" w:val="clear"/>
                  <w:tcMar>
                    <w:top w:type="dxa" w:w="120"/>
                    <w:left w:type="dxa" w:w="80"/>
                    <w:bottom w:type="dxa" w:w="120"/>
                    <w:right w:type="dxa" w:w="80"/>
                  </w:tcMar>
                  <w:vAlign w:val="center"/>
                </w:tcPr>
                <w:p>
                  <w:pPr>
                    <w:spacing w:after="40" w:before="0"/>
                    <w:jc w:val="center"/>
                  </w:pPr>
                  <w:r>
                    <w:rPr>
                      <w:rFonts w:ascii="Arial" w:cs="Arial" w:eastAsia="Arial" w:hAnsi="Arial"/>
                      <w:b/>
                      <w:bCs/>
                      <w:caps/>
                      <w:color w:val="D4DCE3"/>
                      <w:sz w:val="16"/>
                      <w:szCs w:val="16"/>
                    </w:rPr>
                    <w:t xml:space="preserve">[LOGO]</w:t>
                  </w:r>
                </w:p>
                <w:p>
                  <w:pPr>
                    <w:spacing w:after="0" w:before="0"/>
                    <w:jc w:val="center"/>
                  </w:pPr>
                  <w:r>
                    <w:rPr>
                      <w:rFonts w:ascii="Arial" w:cs="Arial" w:eastAsia="Arial" w:hAnsi="Arial"/>
                      <w:i/>
                      <w:iCs/>
                      <w:color w:val="8A98A5"/>
                      <w:sz w:val="14"/>
                      <w:szCs w:val="14"/>
                    </w:rPr>
                    <w:t xml:space="preserve">Archax</w:t>
                  </w:r>
                </w:p>
              </w:tc>
            </w:tr>
          </w:tbl>
          <w:p/>
        </w:tc>
        <w:tc>
          <w:tcPr>
            <w:tcW w:type="dxa" w:w="7360"/>
            <w:tcBorders>
              <w:top w:val="single" w:color="E4E9ED" w:sz="1"/>
              <w:left w:val="single" w:color="E4E9ED" w:sz="1"/>
              <w:bottom w:val="single" w:color="E4E9ED" w:sz="1"/>
              <w:right w:val="single" w:color="E4E9ED" w:sz="1"/>
            </w:tcBorders>
            <w:shd w:fill="F2F5F7" w:val="clear"/>
            <w:tcMar>
              <w:top w:type="dxa" w:w="120"/>
              <w:left w:type="dxa" w:w="160"/>
              <w:bottom w:type="dxa" w:w="120"/>
              <w:right w:type="dxa" w:w="160"/>
            </w:tcMar>
          </w:tcPr>
          <w:p>
            <w:pPr>
              <w:spacing w:after="60" w:before="0"/>
            </w:pPr>
            <w:r>
              <w:rPr>
                <w:rFonts w:ascii="Arial" w:cs="Arial" w:eastAsia="Arial" w:hAnsi="Arial"/>
                <w:b/>
                <w:bCs/>
                <w:color w:val="18242F"/>
                <w:sz w:val="24"/>
                <w:szCs w:val="24"/>
              </w:rPr>
              <w:t xml:space="preserve">Archax</w:t>
            </w:r>
            <w:r>
              <w:rPr>
                <w:rFonts w:ascii="Arial" w:cs="Arial" w:eastAsia="Arial" w:hAnsi="Arial"/>
                <w:sz w:val="20"/>
                <w:szCs w:val="20"/>
              </w:rPr>
              <w:t xml:space="preserve">   </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2F5F7" w:val="clear"/>
                </w:tcPr>
                <w:p>
                  <w:pPr>
                    <w:spacing w:after="60" w:before="0"/>
                  </w:pPr>
                  <w:r>
                    <w:rPr>
                      <w:rFonts w:ascii="Arial" w:cs="Arial" w:eastAsia="Arial" w:hAnsi="Arial"/>
                      <w:b/>
                      <w:bCs/>
                      <w:color w:val="285A44"/>
                      <w:sz w:val="17"/>
                      <w:szCs w:val="17"/>
                      <w:shd w:fill="ECF4EF" w:val="clear"/>
                    </w:rPr>
                    <w:t xml:space="preserve">  FCA-Regulated · Exchange, Broker, Custodian  </w:t>
                  </w:r>
                </w:p>
              </w:tc>
              <w:tc>
                <w:tcPr>
                  <w:tcW w:type="dxa" w:w="3500"/>
                  <w:tcBorders>
                    <w:top w:val="none" w:color="FFFFFF" w:sz="0"/>
                    <w:left w:val="none" w:color="FFFFFF" w:sz="0"/>
                    <w:bottom w:val="none" w:color="FFFFFF" w:sz="0"/>
                    <w:right w:val="none" w:color="FFFFFF" w:sz="0"/>
                  </w:tcBorders>
                  <w:shd w:fill="F2F5F7" w:val="clear"/>
                </w:tcPr>
                <w:p>
                  <w:pPr>
                    <w:spacing w:after="0" w:before="0"/>
                  </w:pPr>
                  <w:r>
                    <w:rPr>
                      <w:rFonts w:ascii="Arial" w:cs="Arial" w:eastAsia="Arial" w:hAnsi="Arial"/>
                      <w:b/>
                      <w:bCs/>
                      <w:color w:val="8B6E52"/>
                      <w:sz w:val="16"/>
                      <w:szCs w:val="16"/>
                      <w:shd w:fill="F7F0E8" w:val="clear"/>
                    </w:rPr>
                    <w:t xml:space="preserve">  PRIORITY 3  </w:t>
                  </w:r>
                </w:p>
              </w:tc>
            </w:tr>
          </w:tbl>
          <w:p>
            <w:pPr>
              <w:spacing w:after="80" w:before="0"/>
            </w:pPr>
            <w:r>
              <w:t xml:space="preserve"/>
            </w:r>
          </w:p>
          <w:p>
            <w:pPr>
              <w:spacing w:after="40" w:before="0"/>
            </w:pPr>
            <w:r>
              <w:rPr>
                <w:rFonts w:ascii="Arial" w:cs="Arial" w:eastAsia="Arial" w:hAnsi="Arial"/>
                <w:i/>
                <w:iCs/>
                <w:color w:val="3A7A5C"/>
                <w:sz w:val="18"/>
                <w:szCs w:val="18"/>
              </w:rPr>
              <w:t xml:space="preserve">archax.com</w:t>
            </w:r>
          </w:p>
          <w:p>
            <w:pPr>
              <w:spacing w:after="80" w:before="0"/>
            </w:pPr>
            <w:r>
              <w:rPr>
                <w:rFonts w:ascii="Arial" w:cs="Arial" w:eastAsia="Arial" w:hAnsi="Arial"/>
                <w:color w:val="5A6876"/>
                <w:sz w:val="20"/>
                <w:szCs w:val="20"/>
              </w:rPr>
              <w:t xml:space="preserve">FCA-regulated as an exchange, broker, AND custodian — all three in one entity. Expanding tokenized fund listings. London-based institutional-grade digital securities infrastructure.</w:t>
            </w:r>
          </w:p>
          <w:p>
            <w:pPr>
              <w:spacing w:after="40" w:before="0"/>
            </w:pPr>
            <w:r>
              <w:rPr>
                <w:rFonts w:ascii="Arial" w:cs="Arial" w:eastAsia="Arial" w:hAnsi="Arial"/>
                <w:b/>
                <w:bCs/>
                <w:color w:val="18242F"/>
                <w:sz w:val="20"/>
                <w:szCs w:val="20"/>
              </w:rPr>
              <w:t xml:space="preserve">DeedFlow Role:  </w:t>
            </w:r>
            <w:r>
              <w:rPr>
                <w:rFonts w:ascii="Arial" w:cs="Arial" w:eastAsia="Arial" w:hAnsi="Arial"/>
                <w:color w:val="1A1A1A"/>
                <w:sz w:val="20"/>
                <w:szCs w:val="20"/>
              </w:rPr>
              <w:t xml:space="preserve">Custody, brokerage, and exchange services for UK market entry. Secondary market for DEED tokens in UK jurisdiction.</w:t>
            </w:r>
          </w:p>
          <w:p>
            <w:pPr>
              <w:spacing w:after="40" w:before="0"/>
            </w:pPr>
            <w:r>
              <w:rPr>
                <w:rFonts w:ascii="Arial" w:cs="Arial" w:eastAsia="Arial" w:hAnsi="Arial"/>
                <w:b/>
                <w:bCs/>
                <w:color w:val="18242F"/>
                <w:sz w:val="20"/>
                <w:szCs w:val="20"/>
              </w:rPr>
              <w:t xml:space="preserve">Status:  </w:t>
            </w:r>
            <w:r>
              <w:rPr>
                <w:rFonts w:ascii="Arial" w:cs="Arial" w:eastAsia="Arial" w:hAnsi="Arial"/>
                <w:color w:val="8B6E52"/>
                <w:sz w:val="20"/>
                <w:szCs w:val="20"/>
              </w:rPr>
              <w:t xml:space="preserve">Operational — FCA licensed</w:t>
            </w:r>
          </w:p>
          <w:p>
            <w:pPr>
              <w:spacing w:after="0" w:before="0"/>
            </w:pPr>
            <w:r>
              <w:rPr>
                <w:rFonts w:ascii="Arial" w:cs="Arial" w:eastAsia="Arial" w:hAnsi="Arial"/>
                <w:b/>
                <w:bCs/>
                <w:color w:val="B08A26"/>
                <w:sz w:val="19"/>
                <w:szCs w:val="19"/>
              </w:rPr>
              <w:t xml:space="preserve">Note:  </w:t>
            </w:r>
            <w:r>
              <w:rPr>
                <w:rFonts w:ascii="Arial" w:cs="Arial" w:eastAsia="Arial" w:hAnsi="Arial"/>
                <w:i/>
                <w:iCs/>
                <w:color w:val="5A6876"/>
                <w:sz w:val="19"/>
                <w:szCs w:val="19"/>
              </w:rPr>
              <w:t xml:space="preserve">The cleanest single-partner solution for UK market entry. FCA license covers all three required functions.</w:t>
            </w:r>
          </w:p>
        </w:tc>
      </w:tr>
    </w:tbl>
    <w:p>
      <w:pPr>
        <w:spacing w:after="80" w:before="0"/>
      </w:pPr>
      <w:r>
        <w:t xml:space="preserve"/>
      </w:r>
    </w:p>
    <w:p>
      <w:pPr>
        <w:pBdr>
          <w:bottom w:val="single" w:color="E4E9ED" w:sz="6" w:space="1"/>
        </w:pBdr>
        <w:spacing w:after="240" w:before="240"/>
      </w:pPr>
      <w:r>
        <w:t xml:space="preserve"/>
      </w:r>
    </w:p>
    <w:p>
      <w:pPr>
        <w:pStyle w:val="Heading1"/>
        <w:pBdr>
          <w:bottom w:val="single" w:color="285A44" w:sz="10" w:space="8"/>
        </w:pBdr>
        <w:spacing w:after="140" w:before="400"/>
      </w:pPr>
      <w:r>
        <w:rPr>
          <w:rFonts w:ascii="Arial" w:cs="Arial" w:eastAsia="Arial" w:hAnsi="Arial"/>
          <w:b/>
          <w:bCs/>
          <w:color w:val="18242F"/>
          <w:sz w:val="34"/>
          <w:szCs w:val="34"/>
        </w:rPr>
        <w:t xml:space="preserve">Logo / Brand Kit Download Reference</w:t>
      </w:r>
    </w:p>
    <w:p>
      <w:pPr>
        <w:spacing w:after="100" w:before="60"/>
      </w:pPr>
      <w:r>
        <w:rPr>
          <w:rFonts w:ascii="Arial" w:cs="Arial" w:eastAsia="Arial" w:hAnsi="Arial"/>
          <w:color w:val="1A1A1A"/>
          <w:sz w:val="22"/>
          <w:szCs w:val="22"/>
        </w:rPr>
        <w:t xml:space="preserve">Use the following official press and brand kit pages to download logos for each partner. Place the downloaded logo files in the corresponding placeholder boxes throughout this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Partner</w:t>
            </w:r>
          </w:p>
        </w:tc>
        <w:tc>
          <w:tcPr>
            <w:tcW w:type="dxa" w:w="348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Brand Kit / Press Page</w:t>
            </w:r>
          </w:p>
        </w:tc>
        <w:tc>
          <w:tcPr>
            <w:tcW w:type="dxa" w:w="348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Format Note</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Custodia Bank</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custodiabank.com/press</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Download PNG or SVG — use on white background</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Wyoming Deposit &amp; Transfer</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wdtfinancial.com</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Contact info@wdtfinancial.com for brand assets</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N3XT</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n3xt.com</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Check footer or contact press@n3xt.com</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Commercium Financial</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commerciumfinancial.com</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Check website footer for logo download</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First Interstate Bank</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firstinterstatebank.com/about</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Investor Relations / About section</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Western Alliance Bank</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westernalliancebank.com/about/newsroom</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Newsroom has official logo files</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Propy</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propy.com — or press@propy.com</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CEO active on X (@PropyInc). Direct contact preferred</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Hometap</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hometap.com/press</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Full press kit with logo variants</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Point</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point.com/press</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Download section on press page</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Opendoor</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investor.opendoor.com — Media Resources</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Public company — brand guidelines available</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Roofstock</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roofstock.com/press</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Full media kit on press page</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Lofty.ai</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lofty.ai</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Check website footer or hello@lofty.ai</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RealT</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realt.co</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Download from website or team@realt.co</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CoreLogic</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corelogic.com/about/newsroom</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Newsroom has official logo files</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Securitize</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securitize.io/press</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Press page with brand kit</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Chainalysis</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chainalysis.com/company/press</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Full press kit available</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First American Title</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firstam.com/newsroom</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Newsroom / media contacts</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Fraxtor</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fraxtor.com</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Contact info@fraxtor.com for brand assets</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ADDX</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addx.co/press</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Press page with logo downloads</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285A44"/>
                <w:sz w:val="19"/>
                <w:szCs w:val="19"/>
              </w:rPr>
              <w:t xml:space="preserve">Prypco Mint</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i/>
                <w:iCs/>
                <w:color w:val="3A7A5C"/>
                <w:sz w:val="19"/>
                <w:szCs w:val="19"/>
              </w:rPr>
              <w:t xml:space="preserve">prypco.com</w:t>
            </w:r>
          </w:p>
        </w:tc>
        <w:tc>
          <w:tcPr>
            <w:tcW w:type="dxa" w:w="348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5A6876"/>
                <w:sz w:val="19"/>
                <w:szCs w:val="19"/>
              </w:rPr>
              <w:t xml:space="preserve">Contact press@prypco.com</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285A44"/>
                <w:sz w:val="19"/>
                <w:szCs w:val="19"/>
              </w:rPr>
              <w:t xml:space="preserve">Archax</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i/>
                <w:iCs/>
                <w:color w:val="3A7A5C"/>
                <w:sz w:val="19"/>
                <w:szCs w:val="19"/>
              </w:rPr>
              <w:t xml:space="preserve">archax.com/media</w:t>
            </w:r>
          </w:p>
        </w:tc>
        <w:tc>
          <w:tcPr>
            <w:tcW w:type="dxa" w:w="348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5A6876"/>
                <w:sz w:val="19"/>
                <w:szCs w:val="19"/>
              </w:rPr>
              <w:t xml:space="preserve">Media page with brand assets</w:t>
            </w:r>
          </w:p>
        </w:tc>
      </w:tr>
    </w:tbl>
    <w:p>
      <w:pPr>
        <w:spacing w:after="160" w:before="0"/>
      </w:pPr>
      <w:r>
        <w:t xml:space="preserve"/>
      </w:r>
    </w:p>
    <w:p>
      <w:pPr>
        <w:spacing w:after="100" w:before="60"/>
      </w:pPr>
      <w:r>
        <w:rPr>
          <w:rFonts w:ascii="Arial" w:cs="Arial" w:eastAsia="Arial" w:hAnsi="Arial"/>
          <w:i/>
          <w:iCs/>
          <w:color w:val="8A98A5"/>
          <w:sz w:val="22"/>
          <w:szCs w:val="22"/>
        </w:rPr>
        <w:t xml:space="preserve">This document is for internal planning purposes only. All partnership discussions are subject to legal review and formal agreements. Not investment advice.</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A98A5"/>
        <w:sz w:val="16"/>
        <w:szCs w:val="16"/>
      </w:rPr>
      <w:t xml:space="preserve">DeedFlow — Prospective Partners    </w:t>
    </w:r>
    <w:r>
      <w:rPr>
        <w:rFonts w:ascii="Arial" w:cs="Arial" w:eastAsia="Arial" w:hAnsi="Arial"/>
        <w:color w:val="8A98A5"/>
        <w:sz w:val="16"/>
        <w:szCs w:val="16"/>
      </w:rPr>
      <w:ptab w:alignment="right" w:relativeTo="margin" w:leader="none"/>
    </w:r>
    <w:r>
      <w:rPr>
        <w:rFonts w:ascii="Arial" w:cs="Arial" w:eastAsia="Arial" w:hAnsi="Arial"/>
        <w:color w:val="8A98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8242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85A4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824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2026-04-27T05:44:37.543Z</dcterms:created>
  <dcterms:modified xsi:type="dcterms:W3CDTF">2026-04-27T05:44:37.544Z</dcterms:modified>
</cp:coreProperties>
</file>

<file path=docProps/custom.xml><?xml version="1.0" encoding="utf-8"?>
<Properties xmlns="http://schemas.openxmlformats.org/officeDocument/2006/custom-properties" xmlns:vt="http://schemas.openxmlformats.org/officeDocument/2006/docPropsVTypes"/>
</file>