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t xml:space="preserve"/>
      </w:r>
    </w:p>
    <w:p>
      <w:pPr>
        <w:spacing w:after="120" w:before="0"/>
        <w:jc w:val="center"/>
      </w:pPr>
      <w:r>
        <w:rPr>
          <w:rFonts w:ascii="Arial" w:cs="Arial" w:eastAsia="Arial" w:hAnsi="Arial"/>
          <w:b/>
          <w:bCs/>
          <w:color w:val="1B2A4A"/>
          <w:sz w:val="72"/>
          <w:szCs w:val="72"/>
        </w:rPr>
        <w:t xml:space="preserve">HOMETOKEN</w:t>
      </w:r>
    </w:p>
    <w:p>
      <w:pPr>
        <w:pBdr>
          <w:bottom w:val="single" w:color="C9A84C" w:sz="12" w:space="12"/>
        </w:pBdr>
        <w:spacing w:after="480" w:before="0"/>
        <w:jc w:val="center"/>
      </w:pPr>
      <w:r>
        <w:rPr>
          <w:rFonts w:ascii="Arial" w:cs="Arial" w:eastAsia="Arial" w:hAnsi="Arial"/>
          <w:i/>
          <w:iCs/>
          <w:color w:val="4A6FA5"/>
          <w:sz w:val="32"/>
          <w:szCs w:val="32"/>
        </w:rPr>
        <w:t xml:space="preserve">Homeowner-Controlled Equity Tokenization Platform</w:t>
      </w:r>
    </w:p>
    <w:p>
      <w:pPr>
        <w:spacing w:after="240" w:before="0"/>
      </w:pPr>
      <w:r>
        <w:t xml:space="preserve"/>
      </w:r>
    </w:p>
    <w:p>
      <w:pPr>
        <w:spacing w:after="80" w:before="0"/>
        <w:jc w:val="center"/>
      </w:pPr>
      <w:r>
        <w:rPr>
          <w:rFonts w:ascii="Arial" w:cs="Arial" w:eastAsia="Arial" w:hAnsi="Arial"/>
          <w:b/>
          <w:bCs/>
          <w:caps/>
          <w:color w:val="C9A84C"/>
          <w:sz w:val="28"/>
          <w:szCs w:val="28"/>
        </w:rPr>
        <w:t xml:space="preserve">REGULATORY LANDSCAPE OVERVIEW</w:t>
      </w:r>
    </w:p>
    <w:p>
      <w:pPr>
        <w:spacing w:after="480" w:before="0"/>
        <w:jc w:val="center"/>
      </w:pPr>
      <w:r>
        <w:rPr>
          <w:rFonts w:ascii="Arial" w:cs="Arial" w:eastAsia="Arial" w:hAnsi="Arial"/>
          <w:color w:val="555F6E"/>
          <w:sz w:val="24"/>
          <w:szCs w:val="24"/>
        </w:rPr>
        <w:t xml:space="preserve">U.S. Federal &amp; State Legal Framework Analysis</w:t>
      </w:r>
    </w:p>
    <w:p>
      <w:pPr>
        <w:spacing w:after="720" w:before="0"/>
      </w:pPr>
      <w:r>
        <w:t xml:space="preserve"/>
      </w:r>
    </w:p>
    <w:p>
      <w:pPr>
        <w:spacing w:after="80" w:before="0"/>
        <w:jc w:val="center"/>
      </w:pPr>
      <w:r>
        <w:rPr>
          <w:rFonts w:ascii="Arial" w:cs="Arial" w:eastAsia="Arial" w:hAnsi="Arial"/>
          <w:caps/>
          <w:color w:val="555F6E"/>
          <w:sz w:val="18"/>
          <w:szCs w:val="18"/>
        </w:rPr>
        <w:t xml:space="preserve">CONFIDENTIAL — FOR LEGAL REVIEW PURPOSES ONLY</w:t>
      </w:r>
    </w:p>
    <w:p>
      <w:pPr>
        <w:spacing w:after="80" w:before="0"/>
        <w:jc w:val="center"/>
      </w:pPr>
      <w:r>
        <w:rPr>
          <w:rFonts w:ascii="Arial" w:cs="Arial" w:eastAsia="Arial" w:hAnsi="Arial"/>
          <w:caps/>
          <w:color w:val="B22222"/>
          <w:sz w:val="16"/>
          <w:szCs w:val="16"/>
        </w:rPr>
        <w:t xml:space="preserve">NOT LEGAL ADVICE — CONSULT QUALIFIED SECURITIES AND REAL ESTATE COUNSEL</w:t>
      </w:r>
    </w:p>
    <w:p>
      <w:pPr>
        <w:spacing w:after="0" w:before="0"/>
        <w:jc w:val="center"/>
      </w:pPr>
      <w:r>
        <w:rPr>
          <w:rFonts w:ascii="Arial" w:cs="Arial" w:eastAsia="Arial" w:hAnsi="Arial"/>
          <w:color w:val="555F6E"/>
          <w:sz w:val="20"/>
          <w:szCs w:val="20"/>
        </w:rPr>
        <w:t xml:space="preserve">2025</w:t>
      </w:r>
    </w:p>
    <w:p>
      <w:pPr>
        <w:sectPr>
          <w:pgSz w:w="12240" w:h="15840" w:orient="portrait"/>
          <w:pgMar w:top="1440" w:right="1440" w:bottom="1440" w:left="1440" w:header="708" w:footer="708" w:gutter="0"/>
          <w:pgNumType/>
          <w:docGrid w:linePitch="360"/>
        </w:sectPr>
      </w:pPr>
    </w:p>
    <w:p>
      <w:pPr>
        <w:pStyle w:val="Heading1"/>
        <w:pBdr>
          <w:bottom w:val="single" w:color="C9A84C" w:sz="8" w:space="6"/>
        </w:pBdr>
        <w:spacing w:after="120" w:before="360"/>
      </w:pPr>
      <w:r>
        <w:rPr>
          <w:rFonts w:ascii="Arial" w:cs="Arial" w:eastAsia="Arial" w:hAnsi="Arial"/>
          <w:b/>
          <w:bCs/>
          <w:color w:val="1B2A4A"/>
          <w:sz w:val="32"/>
          <w:szCs w:val="32"/>
        </w:rPr>
        <w:t xml:space="preserve">1. Regulatory Overview</w:t>
      </w:r>
    </w:p>
    <w:tbl>
      <w:tblPr>
        <w:tblW w:type="dxa" w:w="9360"/>
        <w:tblBorders>
          <w:top w:val="single" w:color="C9A84C" w:sz="1"/>
          <w:left w:val="single" w:color="C9A84C" w:sz="20"/>
          <w:bottom w:val="single" w:color="C9A84C" w:sz="1"/>
          <w:right w:val="single" w:color="C9A84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80"/>
              <w:left w:type="dxa" w:w="240"/>
              <w:bottom w:type="dxa" w:w="180"/>
              <w:right w:type="dxa" w:w="240"/>
            </w:tcMar>
          </w:tcPr>
          <w:p>
            <w:pPr>
              <w:spacing w:after="60" w:before="0"/>
            </w:pPr>
            <w:r>
              <w:rPr>
                <w:rFonts w:ascii="Arial" w:cs="Arial" w:eastAsia="Arial" w:hAnsi="Arial"/>
                <w:b/>
                <w:bCs/>
                <w:color w:val="C9A84C"/>
                <w:sz w:val="20"/>
                <w:szCs w:val="20"/>
              </w:rPr>
              <w:t xml:space="preserve">Scope of This Document</w:t>
            </w:r>
          </w:p>
          <w:p>
            <w:pPr>
              <w:spacing w:after="0" w:before="0"/>
            </w:pPr>
            <w:r>
              <w:rPr>
                <w:rFonts w:ascii="Arial" w:cs="Arial" w:eastAsia="Arial" w:hAnsi="Arial"/>
                <w:color w:val="1A1A1A"/>
                <w:sz w:val="21"/>
                <w:szCs w:val="21"/>
              </w:rPr>
              <w:t xml:space="preserve">This analysis covers the primary federal and state regulatory frameworks that HomeToken must navigate. It is organized by regulatory domain, with specific analysis of the Wyoming launch jurisdiction and a phased compliance roadmap. This document does not constitute legal advice and must be reviewed by qualified securities counsel, real estate attorneys, and consumer protection specialists before any product launch.</w:t>
            </w:r>
          </w:p>
        </w:tc>
      </w:tr>
    </w:tbl>
    <w:p>
      <w:pPr>
        <w:spacing w:after="120" w:before="0"/>
      </w:pPr>
      <w:r>
        <w:t xml:space="preserve"/>
      </w:r>
    </w:p>
    <w:p>
      <w:pPr>
        <w:spacing w:after="100" w:before="60"/>
      </w:pPr>
      <w:r>
        <w:rPr>
          <w:rFonts w:ascii="Arial" w:cs="Arial" w:eastAsia="Arial" w:hAnsi="Arial"/>
          <w:color w:val="1A1A1A"/>
          <w:sz w:val="22"/>
          <w:szCs w:val="22"/>
        </w:rPr>
        <w:t xml:space="preserve">HomeToken's platform sits at the intersection of four major regulatory domains, each with its own federal agency, body of law, and compliance infrastructure:</w:t>
      </w:r>
    </w:p>
    <w:p>
      <w:pPr>
        <w:pStyle w:val="ListParagraph"/>
        <w:numPr>
          <w:ilvl w:val="0"/>
          <w:numId w:val="2"/>
        </w:numPr>
        <w:spacing w:after="40" w:before="40"/>
      </w:pPr>
      <w:r>
        <w:rPr>
          <w:rFonts w:ascii="Arial" w:cs="Arial" w:eastAsia="Arial" w:hAnsi="Arial"/>
          <w:color w:val="1A1A1A"/>
          <w:sz w:val="22"/>
          <w:szCs w:val="22"/>
        </w:rPr>
        <w:t xml:space="preserve">Securities Law — SEC jurisdiction over token issuance and fund management</w:t>
      </w:r>
    </w:p>
    <w:p>
      <w:pPr>
        <w:pStyle w:val="ListParagraph"/>
        <w:numPr>
          <w:ilvl w:val="0"/>
          <w:numId w:val="2"/>
        </w:numPr>
        <w:spacing w:after="40" w:before="40"/>
      </w:pPr>
      <w:r>
        <w:rPr>
          <w:rFonts w:ascii="Arial" w:cs="Arial" w:eastAsia="Arial" w:hAnsi="Arial"/>
          <w:color w:val="1A1A1A"/>
          <w:sz w:val="22"/>
          <w:szCs w:val="22"/>
        </w:rPr>
        <w:t xml:space="preserve">Real Estate Law — State-level jurisdiction over property rights, title, and transfer</w:t>
      </w:r>
    </w:p>
    <w:p>
      <w:pPr>
        <w:pStyle w:val="ListParagraph"/>
        <w:numPr>
          <w:ilvl w:val="0"/>
          <w:numId w:val="2"/>
        </w:numPr>
        <w:spacing w:after="40" w:before="40"/>
      </w:pPr>
      <w:r>
        <w:rPr>
          <w:rFonts w:ascii="Arial" w:cs="Arial" w:eastAsia="Arial" w:hAnsi="Arial"/>
          <w:color w:val="1A1A1A"/>
          <w:sz w:val="22"/>
          <w:szCs w:val="22"/>
        </w:rPr>
        <w:t xml:space="preserve">Consumer Financial Protection — CFPB jurisdiction over consumer financial products</w:t>
      </w:r>
    </w:p>
    <w:p>
      <w:pPr>
        <w:pStyle w:val="ListParagraph"/>
        <w:numPr>
          <w:ilvl w:val="0"/>
          <w:numId w:val="2"/>
        </w:numPr>
        <w:spacing w:after="40" w:before="40"/>
      </w:pPr>
      <w:r>
        <w:rPr>
          <w:rFonts w:ascii="Arial" w:cs="Arial" w:eastAsia="Arial" w:hAnsi="Arial"/>
          <w:color w:val="1A1A1A"/>
          <w:sz w:val="22"/>
          <w:szCs w:val="22"/>
        </w:rPr>
        <w:t xml:space="preserve">Digital Asset / Blockchain Law — Emerging federal and state frameworks specific to tokenized assets</w:t>
      </w:r>
    </w:p>
    <w:p>
      <w:pPr>
        <w:spacing w:after="120" w:before="0"/>
      </w:pPr>
      <w:r>
        <w:t xml:space="preserve"/>
      </w:r>
    </w:p>
    <w:p>
      <w:pPr>
        <w:spacing w:after="100" w:before="60"/>
      </w:pPr>
      <w:r>
        <w:rPr>
          <w:rFonts w:ascii="Arial" w:cs="Arial" w:eastAsia="Arial" w:hAnsi="Arial"/>
          <w:color w:val="1A1A1A"/>
          <w:sz w:val="22"/>
          <w:szCs w:val="22"/>
        </w:rPr>
        <w:t xml:space="preserve">The regulatory complexity is significant but manageable. The platform's Wyoming-first strategy is specifically designed to minimize regulatory friction at launch while a more comprehensive compliance framework is developed for national expansion.</w:t>
      </w:r>
    </w:p>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2. Federal Securities Law (SEC)</w:t>
      </w:r>
    </w:p>
    <w:p>
      <w:pPr>
        <w:pStyle w:val="Heading2"/>
        <w:spacing w:after="80" w:before="280"/>
      </w:pPr>
      <w:r>
        <w:rPr>
          <w:rFonts w:ascii="Arial" w:cs="Arial" w:eastAsia="Arial" w:hAnsi="Arial"/>
          <w:b/>
          <w:bCs/>
          <w:color w:val="4A6FA5"/>
          <w:sz w:val="26"/>
          <w:szCs w:val="26"/>
        </w:rPr>
        <w:t xml:space="preserve">2.1 The Howey Test — Are HomeToken Tokens Securities?</w:t>
      </w:r>
    </w:p>
    <w:p>
      <w:pPr>
        <w:spacing w:after="100" w:before="60"/>
      </w:pPr>
      <w:r>
        <w:rPr>
          <w:rFonts w:ascii="Arial" w:cs="Arial" w:eastAsia="Arial" w:hAnsi="Arial"/>
          <w:color w:val="1A1A1A"/>
          <w:sz w:val="22"/>
          <w:szCs w:val="22"/>
        </w:rPr>
        <w:t xml:space="preserve">The threshold question for any tokenized asset is whether the token constitutes a 'security' under the Securities Act of 1933 as interpreted by the Howey test. A token is likely a security if it involves: (1) an investment of money, (2) in a common enterprise, (3) with an expectation of profits, (4) derived primarily from the efforts of others.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Howey Element</w:t>
            </w:r>
          </w:p>
        </w:tc>
        <w:tc>
          <w:tcPr>
            <w:tcW w:type="dxa" w:w="468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HomeToken Analysis</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Investment of money</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 — homeowner invests equity value in exchange for tokens</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Common enterprise</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Ambiguous — Use Case 1 (fund deployment) arguably yes; pure property tokenization arguably no</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Expectation of profits</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 in Use Case 1 (yield); arguably no in Use Cases 2 and 3 (personal use / sale)</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From efforts of others</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 in Use Case 1 (fund managed by third party); no in Use Cases 2 and 3</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Overall assessment</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Use Case 1 tokens almost certainly securities; Use Cases 2 and 3 are genuinely ambiguous</w:t>
            </w:r>
          </w:p>
        </w:tc>
      </w:tr>
    </w:tbl>
    <w:p>
      <w:pPr>
        <w:spacing w:after="120" w:before="0"/>
      </w:pPr>
      <w:r>
        <w:t xml:space="preserve"/>
      </w:r>
    </w:p>
    <w:tbl>
      <w:tblPr>
        <w:tblW w:type="dxa" w:w="9360"/>
        <w:tblBorders>
          <w:top w:val="single" w:color="C9A84C" w:sz="1"/>
          <w:left w:val="single" w:color="C9A84C" w:sz="20"/>
          <w:bottom w:val="single" w:color="C9A84C" w:sz="1"/>
          <w:right w:val="single" w:color="C9A84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80"/>
              <w:left w:type="dxa" w:w="240"/>
              <w:bottom w:type="dxa" w:w="180"/>
              <w:right w:type="dxa" w:w="240"/>
            </w:tcMar>
          </w:tcPr>
          <w:p>
            <w:pPr>
              <w:spacing w:after="60" w:before="0"/>
            </w:pPr>
            <w:r>
              <w:rPr>
                <w:rFonts w:ascii="Arial" w:cs="Arial" w:eastAsia="Arial" w:hAnsi="Arial"/>
                <w:b/>
                <w:bCs/>
                <w:color w:val="C9A84C"/>
                <w:sz w:val="20"/>
                <w:szCs w:val="20"/>
              </w:rPr>
              <w:t xml:space="preserve">Strategic Implication</w:t>
            </w:r>
          </w:p>
          <w:p>
            <w:pPr>
              <w:spacing w:after="0" w:before="0"/>
            </w:pPr>
            <w:r>
              <w:rPr>
                <w:rFonts w:ascii="Arial" w:cs="Arial" w:eastAsia="Arial" w:hAnsi="Arial"/>
                <w:color w:val="1A1A1A"/>
                <w:sz w:val="21"/>
                <w:szCs w:val="21"/>
              </w:rPr>
              <w:t xml:space="preserve">The safest initial approach treats all HomeToken instruments as securities and structures the offering accordingly, rather than attempting to argue for a non-security classification that may not survive SEC scrutiny. This approach imposes more compliance burden upfront but dramatically reduces long-term regulatory risk.</w:t>
            </w:r>
          </w:p>
        </w:tc>
      </w:tr>
    </w:tbl>
    <w:p>
      <w:pPr>
        <w:spacing w:after="120" w:before="0"/>
      </w:pPr>
      <w:r>
        <w:t xml:space="preserve"/>
      </w:r>
    </w:p>
    <w:p>
      <w:pPr>
        <w:pStyle w:val="Heading2"/>
        <w:spacing w:after="80" w:before="280"/>
      </w:pPr>
      <w:r>
        <w:rPr>
          <w:rFonts w:ascii="Arial" w:cs="Arial" w:eastAsia="Arial" w:hAnsi="Arial"/>
          <w:b/>
          <w:bCs/>
          <w:color w:val="4A6FA5"/>
          <w:sz w:val="26"/>
          <w:szCs w:val="26"/>
        </w:rPr>
        <w:t xml:space="preserve">2.2 Offering Exemptions — Pathways to Market</w:t>
      </w:r>
    </w:p>
    <w:p>
      <w:pPr>
        <w:pStyle w:val="Heading3"/>
        <w:spacing w:after="60" w:before="200"/>
      </w:pPr>
      <w:r>
        <w:rPr>
          <w:rFonts w:ascii="Arial" w:cs="Arial" w:eastAsia="Arial" w:hAnsi="Arial"/>
          <w:b/>
          <w:bCs/>
          <w:color w:val="1B2A4A"/>
          <w:sz w:val="22"/>
          <w:szCs w:val="22"/>
        </w:rPr>
        <w:t xml:space="preserve">Regulation D — Rule 506(b) or 506(c) [Recommended for Phase 1]</w:t>
      </w:r>
    </w:p>
    <w:p>
      <w:pPr>
        <w:spacing w:after="100" w:before="60"/>
      </w:pPr>
      <w:r>
        <w:rPr>
          <w:rFonts w:ascii="Arial" w:cs="Arial" w:eastAsia="Arial" w:hAnsi="Arial"/>
          <w:color w:val="1A1A1A"/>
          <w:sz w:val="22"/>
          <w:szCs w:val="22"/>
        </w:rPr>
        <w:t xml:space="preserve">Reg D is the clearest path for the Wyoming pilot launch. Key characteristics:</w:t>
      </w:r>
    </w:p>
    <w:p>
      <w:pPr>
        <w:pStyle w:val="ListParagraph"/>
        <w:numPr>
          <w:ilvl w:val="0"/>
          <w:numId w:val="2"/>
        </w:numPr>
        <w:spacing w:after="40" w:before="40"/>
      </w:pPr>
      <w:r>
        <w:rPr>
          <w:rFonts w:ascii="Arial" w:cs="Arial" w:eastAsia="Arial" w:hAnsi="Arial"/>
          <w:color w:val="1A1A1A"/>
          <w:sz w:val="22"/>
          <w:szCs w:val="22"/>
        </w:rPr>
        <w:t xml:space="preserve">Accredited investors only (net worth &gt;$1M excluding primary residence, or income &gt;$200K/$300K joint)</w:t>
      </w:r>
    </w:p>
    <w:p>
      <w:pPr>
        <w:pStyle w:val="ListParagraph"/>
        <w:numPr>
          <w:ilvl w:val="0"/>
          <w:numId w:val="2"/>
        </w:numPr>
        <w:spacing w:after="40" w:before="40"/>
      </w:pPr>
      <w:r>
        <w:rPr>
          <w:rFonts w:ascii="Arial" w:cs="Arial" w:eastAsia="Arial" w:hAnsi="Arial"/>
          <w:color w:val="1A1A1A"/>
          <w:sz w:val="22"/>
          <w:szCs w:val="22"/>
        </w:rPr>
        <w:t xml:space="preserve">No SEC registration required — file Form D within 15 days of first sale</w:t>
      </w:r>
    </w:p>
    <w:p>
      <w:pPr>
        <w:pStyle w:val="ListParagraph"/>
        <w:numPr>
          <w:ilvl w:val="0"/>
          <w:numId w:val="2"/>
        </w:numPr>
        <w:spacing w:after="40" w:before="40"/>
      </w:pPr>
      <w:r>
        <w:rPr>
          <w:rFonts w:ascii="Arial" w:cs="Arial" w:eastAsia="Arial" w:hAnsi="Arial"/>
          <w:color w:val="1A1A1A"/>
          <w:sz w:val="22"/>
          <w:szCs w:val="22"/>
        </w:rPr>
        <w:t xml:space="preserve">Rule 506(b): up to 35 non-accredited but sophisticated investors; no general solicitation</w:t>
      </w:r>
    </w:p>
    <w:p>
      <w:pPr>
        <w:pStyle w:val="ListParagraph"/>
        <w:numPr>
          <w:ilvl w:val="0"/>
          <w:numId w:val="2"/>
        </w:numPr>
        <w:spacing w:after="40" w:before="40"/>
      </w:pPr>
      <w:r>
        <w:rPr>
          <w:rFonts w:ascii="Arial" w:cs="Arial" w:eastAsia="Arial" w:hAnsi="Arial"/>
          <w:color w:val="1A1A1A"/>
          <w:sz w:val="22"/>
          <w:szCs w:val="22"/>
        </w:rPr>
        <w:t xml:space="preserve">Rule 506(c): unlimited accredited investors; general solicitation permitted if issuers verify accredited status</w:t>
      </w:r>
    </w:p>
    <w:p>
      <w:pPr>
        <w:pStyle w:val="ListParagraph"/>
        <w:numPr>
          <w:ilvl w:val="0"/>
          <w:numId w:val="2"/>
        </w:numPr>
        <w:spacing w:after="40" w:before="40"/>
      </w:pPr>
      <w:r>
        <w:rPr>
          <w:rFonts w:ascii="Arial" w:cs="Arial" w:eastAsia="Arial" w:hAnsi="Arial"/>
          <w:color w:val="1A1A1A"/>
          <w:sz w:val="22"/>
          <w:szCs w:val="22"/>
        </w:rPr>
        <w:t xml:space="preserve">No limit on offering size</w:t>
      </w:r>
    </w:p>
    <w:p>
      <w:pPr>
        <w:pStyle w:val="ListParagraph"/>
        <w:numPr>
          <w:ilvl w:val="0"/>
          <w:numId w:val="2"/>
        </w:numPr>
        <w:spacing w:after="40" w:before="40"/>
      </w:pPr>
      <w:r>
        <w:rPr>
          <w:rFonts w:ascii="Arial" w:cs="Arial" w:eastAsia="Arial" w:hAnsi="Arial"/>
          <w:color w:val="1A1A1A"/>
          <w:sz w:val="22"/>
          <w:szCs w:val="22"/>
        </w:rPr>
        <w:t xml:space="preserve">Disclosure requirements: must provide accredited investors with information comparable to registered offering</w:t>
      </w:r>
    </w:p>
    <w:p>
      <w:pPr>
        <w:pStyle w:val="ListParagraph"/>
        <w:numPr>
          <w:ilvl w:val="0"/>
          <w:numId w:val="2"/>
        </w:numPr>
        <w:spacing w:after="40" w:before="40"/>
      </w:pPr>
      <w:r>
        <w:rPr>
          <w:rFonts w:ascii="Arial" w:cs="Arial" w:eastAsia="Arial" w:hAnsi="Arial"/>
          <w:color w:val="1A1A1A"/>
          <w:sz w:val="22"/>
          <w:szCs w:val="22"/>
        </w:rPr>
        <w:t xml:space="preserve">Jackson Hole target demographic likely qualifies: high property values imply net worth above $1M threshold</w:t>
      </w:r>
    </w:p>
    <w:p>
      <w:pPr>
        <w:spacing w:after="120" w:before="0"/>
      </w:pPr>
      <w:r>
        <w:t xml:space="preserve"/>
      </w:r>
    </w:p>
    <w:tbl>
      <w:tblPr>
        <w:tblW w:type="dxa" w:w="9360"/>
        <w:tblBorders>
          <w:top w:val="single" w:color="C9A84C" w:sz="1"/>
          <w:left w:val="single" w:color="C9A84C" w:sz="20"/>
          <w:bottom w:val="single" w:color="C9A84C" w:sz="1"/>
          <w:right w:val="single" w:color="C9A84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80"/>
              <w:left w:type="dxa" w:w="240"/>
              <w:bottom w:type="dxa" w:w="180"/>
              <w:right w:type="dxa" w:w="240"/>
            </w:tcMar>
          </w:tcPr>
          <w:p>
            <w:pPr>
              <w:spacing w:after="60" w:before="0"/>
            </w:pPr>
            <w:r>
              <w:rPr>
                <w:rFonts w:ascii="Arial" w:cs="Arial" w:eastAsia="Arial" w:hAnsi="Arial"/>
                <w:b/>
                <w:bCs/>
                <w:color w:val="C9A84C"/>
                <w:sz w:val="20"/>
                <w:szCs w:val="20"/>
              </w:rPr>
              <w:t xml:space="preserve">Recommendation</w:t>
            </w:r>
          </w:p>
          <w:p>
            <w:pPr>
              <w:spacing w:after="0" w:before="0"/>
            </w:pPr>
            <w:r>
              <w:rPr>
                <w:rFonts w:ascii="Arial" w:cs="Arial" w:eastAsia="Arial" w:hAnsi="Arial"/>
                <w:color w:val="1A1A1A"/>
                <w:sz w:val="21"/>
                <w:szCs w:val="21"/>
              </w:rPr>
              <w:t xml:space="preserve">Launch under Rule 506(c) to permit general solicitation within the Jackson Hole market. Invest in robust accredited investor verification (use a qualified third-party verification service). This maximizes marketing flexibility while maintaining a clean SEC exemption.</w:t>
            </w:r>
          </w:p>
        </w:tc>
      </w:tr>
    </w:tbl>
    <w:p>
      <w:pPr>
        <w:spacing w:after="120" w:before="0"/>
      </w:pPr>
      <w:r>
        <w:t xml:space="preserve"/>
      </w:r>
    </w:p>
    <w:p>
      <w:pPr>
        <w:pStyle w:val="Heading3"/>
        <w:spacing w:after="60" w:before="200"/>
      </w:pPr>
      <w:r>
        <w:rPr>
          <w:rFonts w:ascii="Arial" w:cs="Arial" w:eastAsia="Arial" w:hAnsi="Arial"/>
          <w:b/>
          <w:bCs/>
          <w:color w:val="1B2A4A"/>
          <w:sz w:val="22"/>
          <w:szCs w:val="22"/>
        </w:rPr>
        <w:t xml:space="preserve">Regulation A+ — Tier 2 [Phase 2–3 Expansion]</w:t>
      </w:r>
    </w:p>
    <w:p>
      <w:pPr>
        <w:spacing w:after="100" w:before="60"/>
      </w:pPr>
      <w:r>
        <w:rPr>
          <w:rFonts w:ascii="Arial" w:cs="Arial" w:eastAsia="Arial" w:hAnsi="Arial"/>
          <w:color w:val="1A1A1A"/>
          <w:sz w:val="22"/>
          <w:szCs w:val="22"/>
        </w:rPr>
        <w:t xml:space="preserve">Reg A+ enables offerings up to $75M annually to both accredited and non-accredited investors, with SEC qualification (a lighter-touch review compared to full registration). Key characteristics:</w:t>
      </w:r>
    </w:p>
    <w:p>
      <w:pPr>
        <w:pStyle w:val="ListParagraph"/>
        <w:numPr>
          <w:ilvl w:val="0"/>
          <w:numId w:val="2"/>
        </w:numPr>
        <w:spacing w:after="40" w:before="40"/>
      </w:pPr>
      <w:r>
        <w:rPr>
          <w:rFonts w:ascii="Arial" w:cs="Arial" w:eastAsia="Arial" w:hAnsi="Arial"/>
          <w:color w:val="1A1A1A"/>
          <w:sz w:val="22"/>
          <w:szCs w:val="22"/>
        </w:rPr>
        <w:t xml:space="preserve">Allows general solicitation and advertising</w:t>
      </w:r>
    </w:p>
    <w:p>
      <w:pPr>
        <w:pStyle w:val="ListParagraph"/>
        <w:numPr>
          <w:ilvl w:val="0"/>
          <w:numId w:val="2"/>
        </w:numPr>
        <w:spacing w:after="40" w:before="40"/>
      </w:pPr>
      <w:r>
        <w:rPr>
          <w:rFonts w:ascii="Arial" w:cs="Arial" w:eastAsia="Arial" w:hAnsi="Arial"/>
          <w:color w:val="1A1A1A"/>
          <w:sz w:val="22"/>
          <w:szCs w:val="22"/>
        </w:rPr>
        <w:t xml:space="preserve">Non-accredited investors limited to 10% of greater of annual income or net worth</w:t>
      </w:r>
    </w:p>
    <w:p>
      <w:pPr>
        <w:pStyle w:val="ListParagraph"/>
        <w:numPr>
          <w:ilvl w:val="0"/>
          <w:numId w:val="2"/>
        </w:numPr>
        <w:spacing w:after="40" w:before="40"/>
      </w:pPr>
      <w:r>
        <w:rPr>
          <w:rFonts w:ascii="Arial" w:cs="Arial" w:eastAsia="Arial" w:hAnsi="Arial"/>
          <w:color w:val="1A1A1A"/>
          <w:sz w:val="22"/>
          <w:szCs w:val="22"/>
        </w:rPr>
        <w:t xml:space="preserve">Requires audited financial statements</w:t>
      </w:r>
    </w:p>
    <w:p>
      <w:pPr>
        <w:pStyle w:val="ListParagraph"/>
        <w:numPr>
          <w:ilvl w:val="0"/>
          <w:numId w:val="2"/>
        </w:numPr>
        <w:spacing w:after="40" w:before="40"/>
      </w:pPr>
      <w:r>
        <w:rPr>
          <w:rFonts w:ascii="Arial" w:cs="Arial" w:eastAsia="Arial" w:hAnsi="Arial"/>
          <w:color w:val="1A1A1A"/>
          <w:sz w:val="22"/>
          <w:szCs w:val="22"/>
        </w:rPr>
        <w:t xml:space="preserve">Requires SEC qualification — takes 3–6+ months</w:t>
      </w:r>
    </w:p>
    <w:p>
      <w:pPr>
        <w:pStyle w:val="ListParagraph"/>
        <w:numPr>
          <w:ilvl w:val="0"/>
          <w:numId w:val="2"/>
        </w:numPr>
        <w:spacing w:after="40" w:before="40"/>
      </w:pPr>
      <w:r>
        <w:rPr>
          <w:rFonts w:ascii="Arial" w:cs="Arial" w:eastAsia="Arial" w:hAnsi="Arial"/>
          <w:color w:val="1A1A1A"/>
          <w:sz w:val="22"/>
          <w:szCs w:val="22"/>
        </w:rPr>
        <w:t xml:space="preserve">Ongoing reporting requirements (Form 1-K annual, Form 1-SA semi-annual)</w:t>
      </w:r>
    </w:p>
    <w:p>
      <w:pPr>
        <w:pStyle w:val="ListParagraph"/>
        <w:numPr>
          <w:ilvl w:val="0"/>
          <w:numId w:val="2"/>
        </w:numPr>
        <w:spacing w:after="40" w:before="40"/>
      </w:pPr>
      <w:r>
        <w:rPr>
          <w:rFonts w:ascii="Arial" w:cs="Arial" w:eastAsia="Arial" w:hAnsi="Arial"/>
          <w:color w:val="1A1A1A"/>
          <w:sz w:val="22"/>
          <w:szCs w:val="22"/>
        </w:rPr>
        <w:t xml:space="preserve">Preempts state Blue Sky law for Tier 2 offerings — significant compliance simplification for multi-state expansion</w:t>
      </w:r>
    </w:p>
    <w:p>
      <w:pPr>
        <w:spacing w:after="120" w:before="0"/>
      </w:pPr>
      <w:r>
        <w:t xml:space="preserve"/>
      </w:r>
    </w:p>
    <w:p>
      <w:pPr>
        <w:spacing w:after="100" w:before="60"/>
      </w:pPr>
      <w:r>
        <w:rPr>
          <w:rFonts w:ascii="Arial" w:cs="Arial" w:eastAsia="Arial" w:hAnsi="Arial"/>
          <w:color w:val="1A1A1A"/>
          <w:sz w:val="22"/>
          <w:szCs w:val="22"/>
        </w:rPr>
        <w:t xml:space="preserve">Reg A+ is the likely path for Phase 2 expansion beyond Wyoming, particularly to enable non-accredited homeowner participation and to open the marketplace to a broader investor base.</w:t>
      </w:r>
    </w:p>
    <w:p>
      <w:pPr>
        <w:spacing w:after="120" w:before="0"/>
      </w:pPr>
      <w:r>
        <w:t xml:space="preserve"/>
      </w:r>
    </w:p>
    <w:p>
      <w:pPr>
        <w:pStyle w:val="Heading3"/>
        <w:spacing w:after="60" w:before="200"/>
      </w:pPr>
      <w:r>
        <w:rPr>
          <w:rFonts w:ascii="Arial" w:cs="Arial" w:eastAsia="Arial" w:hAnsi="Arial"/>
          <w:b/>
          <w:bCs/>
          <w:color w:val="1B2A4A"/>
          <w:sz w:val="22"/>
          <w:szCs w:val="22"/>
        </w:rPr>
        <w:t xml:space="preserve">Regulation Crowdfunding — Limited Applicability</w:t>
      </w:r>
    </w:p>
    <w:p>
      <w:pPr>
        <w:spacing w:after="100" w:before="60"/>
      </w:pPr>
      <w:r>
        <w:rPr>
          <w:rFonts w:ascii="Arial" w:cs="Arial" w:eastAsia="Arial" w:hAnsi="Arial"/>
          <w:color w:val="1A1A1A"/>
          <w:sz w:val="22"/>
          <w:szCs w:val="22"/>
        </w:rPr>
        <w:t xml:space="preserve">Reg CF allows up to $5M per year from both accredited and non-accredited investors. The $5M ceiling is likely too restrictive for HomeToken's target transaction sizes (high-value properties) and growth ambitions. Reg CF may be relevant for a beta or community-building phase but is not the primary regulatory path.</w:t>
      </w:r>
    </w:p>
    <w:p>
      <w:pPr>
        <w:spacing w:after="120" w:before="0"/>
      </w:pPr>
      <w:r>
        <w:t xml:space="preserve"/>
      </w:r>
    </w:p>
    <w:p>
      <w:pPr>
        <w:pStyle w:val="Heading3"/>
        <w:spacing w:after="60" w:before="200"/>
      </w:pPr>
      <w:r>
        <w:rPr>
          <w:rFonts w:ascii="Arial" w:cs="Arial" w:eastAsia="Arial" w:hAnsi="Arial"/>
          <w:b/>
          <w:bCs/>
          <w:color w:val="1B2A4A"/>
          <w:sz w:val="22"/>
          <w:szCs w:val="22"/>
        </w:rPr>
        <w:t xml:space="preserve">Full Registration — Long-Term Option</w:t>
      </w:r>
    </w:p>
    <w:p>
      <w:pPr>
        <w:spacing w:after="100" w:before="60"/>
      </w:pPr>
      <w:r>
        <w:rPr>
          <w:rFonts w:ascii="Arial" w:cs="Arial" w:eastAsia="Arial" w:hAnsi="Arial"/>
          <w:color w:val="1A1A1A"/>
          <w:sz w:val="22"/>
          <w:szCs w:val="22"/>
        </w:rPr>
        <w:t xml:space="preserve">Full SEC registration (S-1 or similar) would allow unrestricted public offerings but involves substantial cost, ongoing disclosure obligations, and a 6–18 month registration process. This may become appropriate if HomeToken reaches scale and seeks to list on a national exchange, but is not a near-term priority.</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2.3 Investment Adviser and Broker-Dealer Considerations</w:t>
      </w:r>
    </w:p>
    <w:p>
      <w:pPr>
        <w:pStyle w:val="Heading3"/>
        <w:spacing w:after="60" w:before="200"/>
      </w:pPr>
      <w:r>
        <w:rPr>
          <w:rFonts w:ascii="Arial" w:cs="Arial" w:eastAsia="Arial" w:hAnsi="Arial"/>
          <w:b/>
          <w:bCs/>
          <w:color w:val="1B2A4A"/>
          <w:sz w:val="22"/>
          <w:szCs w:val="22"/>
        </w:rPr>
        <w:t xml:space="preserve">Investment Adviser Act</w:t>
      </w:r>
    </w:p>
    <w:p>
      <w:pPr>
        <w:spacing w:after="100" w:before="60"/>
      </w:pPr>
      <w:r>
        <w:rPr>
          <w:rFonts w:ascii="Arial" w:cs="Arial" w:eastAsia="Arial" w:hAnsi="Arial"/>
          <w:color w:val="1A1A1A"/>
          <w:sz w:val="22"/>
          <w:szCs w:val="22"/>
        </w:rPr>
        <w:t xml:space="preserve">The fund management component of HomeToken Capital Management will almost certainly require registration as an Investment Adviser. Key thresholds:</w:t>
      </w:r>
    </w:p>
    <w:p>
      <w:pPr>
        <w:pStyle w:val="ListParagraph"/>
        <w:numPr>
          <w:ilvl w:val="0"/>
          <w:numId w:val="2"/>
        </w:numPr>
        <w:spacing w:after="40" w:before="40"/>
      </w:pPr>
      <w:r>
        <w:rPr>
          <w:rFonts w:ascii="Arial" w:cs="Arial" w:eastAsia="Arial" w:hAnsi="Arial"/>
          <w:color w:val="1A1A1A"/>
          <w:sz w:val="22"/>
          <w:szCs w:val="22"/>
        </w:rPr>
        <w:t xml:space="preserve">Federal registration with SEC: required for advisers managing $110M+ in assets (or advisers to registered investment companies)</w:t>
      </w:r>
    </w:p>
    <w:p>
      <w:pPr>
        <w:pStyle w:val="ListParagraph"/>
        <w:numPr>
          <w:ilvl w:val="0"/>
          <w:numId w:val="2"/>
        </w:numPr>
        <w:spacing w:after="40" w:before="40"/>
      </w:pPr>
      <w:r>
        <w:rPr>
          <w:rFonts w:ascii="Arial" w:cs="Arial" w:eastAsia="Arial" w:hAnsi="Arial"/>
          <w:color w:val="1A1A1A"/>
          <w:sz w:val="22"/>
          <w:szCs w:val="22"/>
        </w:rPr>
        <w:t xml:space="preserve">State registration: required for advisers managing below the federal threshold</w:t>
      </w:r>
    </w:p>
    <w:p>
      <w:pPr>
        <w:pStyle w:val="ListParagraph"/>
        <w:numPr>
          <w:ilvl w:val="0"/>
          <w:numId w:val="2"/>
        </w:numPr>
        <w:spacing w:after="40" w:before="40"/>
      </w:pPr>
      <w:r>
        <w:rPr>
          <w:rFonts w:ascii="Arial" w:cs="Arial" w:eastAsia="Arial" w:hAnsi="Arial"/>
          <w:color w:val="1A1A1A"/>
          <w:sz w:val="22"/>
          <w:szCs w:val="22"/>
        </w:rPr>
        <w:t xml:space="preserve">Exempt Reporting Adviser (ERA): available for advisers solely to 'venture capital funds' or advisers with fewer than 15 clients and AUM below $25M — evaluate applicability at launch</w:t>
      </w:r>
    </w:p>
    <w:p>
      <w:pPr>
        <w:pStyle w:val="ListParagraph"/>
        <w:numPr>
          <w:ilvl w:val="0"/>
          <w:numId w:val="2"/>
        </w:numPr>
        <w:spacing w:after="40" w:before="40"/>
      </w:pPr>
      <w:r>
        <w:rPr>
          <w:rFonts w:ascii="Arial" w:cs="Arial" w:eastAsia="Arial" w:hAnsi="Arial"/>
          <w:color w:val="1A1A1A"/>
          <w:sz w:val="22"/>
          <w:szCs w:val="22"/>
        </w:rPr>
        <w:t xml:space="preserve">Registered Investment Adviser fiduciary duty: must act in client's best interest; detailed disclosure in Form ADV</w:t>
      </w:r>
    </w:p>
    <w:p>
      <w:pPr>
        <w:spacing w:after="120" w:before="0"/>
      </w:pPr>
      <w:r>
        <w:t xml:space="preserve"/>
      </w:r>
    </w:p>
    <w:p>
      <w:pPr>
        <w:pStyle w:val="Heading3"/>
        <w:spacing w:after="60" w:before="200"/>
      </w:pPr>
      <w:r>
        <w:rPr>
          <w:rFonts w:ascii="Arial" w:cs="Arial" w:eastAsia="Arial" w:hAnsi="Arial"/>
          <w:b/>
          <w:bCs/>
          <w:color w:val="1B2A4A"/>
          <w:sz w:val="22"/>
          <w:szCs w:val="22"/>
        </w:rPr>
        <w:t xml:space="preserve">Broker-Dealer Registration</w:t>
      </w:r>
    </w:p>
    <w:p>
      <w:pPr>
        <w:spacing w:after="100" w:before="60"/>
      </w:pPr>
      <w:r>
        <w:rPr>
          <w:rFonts w:ascii="Arial" w:cs="Arial" w:eastAsia="Arial" w:hAnsi="Arial"/>
          <w:color w:val="1A1A1A"/>
          <w:sz w:val="22"/>
          <w:szCs w:val="22"/>
        </w:rPr>
        <w:t xml:space="preserve">If HomeToken facilitates token transactions between buyers and sellers on its marketplace (earning transaction fees), it may be required to register as a broker-dealer under the Securities Exchange Act of 1934. Alternatives:</w:t>
      </w:r>
    </w:p>
    <w:p>
      <w:pPr>
        <w:pStyle w:val="ListParagraph"/>
        <w:numPr>
          <w:ilvl w:val="0"/>
          <w:numId w:val="2"/>
        </w:numPr>
        <w:spacing w:after="40" w:before="40"/>
      </w:pPr>
      <w:r>
        <w:rPr>
          <w:rFonts w:ascii="Arial" w:cs="Arial" w:eastAsia="Arial" w:hAnsi="Arial"/>
          <w:color w:val="1A1A1A"/>
          <w:sz w:val="22"/>
          <w:szCs w:val="22"/>
        </w:rPr>
        <w:t xml:space="preserve">Partner with a registered broker-dealer to operate the marketplace under their license</w:t>
      </w:r>
    </w:p>
    <w:p>
      <w:pPr>
        <w:pStyle w:val="ListParagraph"/>
        <w:numPr>
          <w:ilvl w:val="0"/>
          <w:numId w:val="2"/>
        </w:numPr>
        <w:spacing w:after="40" w:before="40"/>
      </w:pPr>
      <w:r>
        <w:rPr>
          <w:rFonts w:ascii="Arial" w:cs="Arial" w:eastAsia="Arial" w:hAnsi="Arial"/>
          <w:color w:val="1A1A1A"/>
          <w:sz w:val="22"/>
          <w:szCs w:val="22"/>
        </w:rPr>
        <w:t xml:space="preserve">Apply for SEC Alternative Trading System (ATS) registration — permits operation of a trading venue for securities</w:t>
      </w:r>
    </w:p>
    <w:p>
      <w:pPr>
        <w:pStyle w:val="ListParagraph"/>
        <w:numPr>
          <w:ilvl w:val="0"/>
          <w:numId w:val="2"/>
        </w:numPr>
        <w:spacing w:after="40" w:before="40"/>
      </w:pPr>
      <w:r>
        <w:rPr>
          <w:rFonts w:ascii="Arial" w:cs="Arial" w:eastAsia="Arial" w:hAnsi="Arial"/>
          <w:color w:val="1A1A1A"/>
          <w:sz w:val="22"/>
          <w:szCs w:val="22"/>
        </w:rPr>
        <w:t xml:space="preserve">Explore FINRA no-action relief for specific tokenized security models — the regulatory landscape is evolving</w:t>
      </w:r>
    </w:p>
    <w:p>
      <w:pPr>
        <w:spacing w:after="120" w:before="0"/>
      </w:pPr>
      <w:r>
        <w:t xml:space="preserve"/>
      </w:r>
    </w:p>
    <w:tbl>
      <w:tblPr>
        <w:tblW w:type="dxa" w:w="9360"/>
        <w:tblBorders>
          <w:top w:val="single" w:color="C9A84C" w:sz="1"/>
          <w:left w:val="single" w:color="C9A84C" w:sz="20"/>
          <w:bottom w:val="single" w:color="C9A84C" w:sz="1"/>
          <w:right w:val="single" w:color="C9A84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80"/>
              <w:left w:type="dxa" w:w="240"/>
              <w:bottom w:type="dxa" w:w="180"/>
              <w:right w:type="dxa" w:w="240"/>
            </w:tcMar>
          </w:tcPr>
          <w:p>
            <w:pPr>
              <w:spacing w:after="60" w:before="0"/>
            </w:pPr>
            <w:r>
              <w:rPr>
                <w:rFonts w:ascii="Arial" w:cs="Arial" w:eastAsia="Arial" w:hAnsi="Arial"/>
                <w:b/>
                <w:bCs/>
                <w:color w:val="C9A84C"/>
                <w:sz w:val="20"/>
                <w:szCs w:val="20"/>
              </w:rPr>
              <w:t xml:space="preserve">Key Issue — Broker-Dealer</w:t>
            </w:r>
          </w:p>
          <w:p>
            <w:pPr>
              <w:spacing w:after="0" w:before="0"/>
            </w:pPr>
            <w:r>
              <w:rPr>
                <w:rFonts w:ascii="Arial" w:cs="Arial" w:eastAsia="Arial" w:hAnsi="Arial"/>
                <w:color w:val="1A1A1A"/>
                <w:sz w:val="21"/>
                <w:szCs w:val="21"/>
              </w:rPr>
              <w:t xml:space="preserve">The marketplace use case (Use Case 3) is the most likely to trigger broker-dealer registration requirements. Early engagement with a FINRA-member firm as a platform partner may be the most practical near-term solution.</w:t>
            </w:r>
          </w:p>
        </w:tc>
      </w:tr>
    </w:tbl>
    <w:p>
      <w:pPr>
        <w:spacing w:after="120" w:before="0"/>
      </w:pPr>
      <w:r>
        <w:t xml:space="preserve"/>
      </w:r>
    </w:p>
    <w:p>
      <w:pPr>
        <w:pStyle w:val="Heading2"/>
        <w:spacing w:after="80" w:before="280"/>
      </w:pPr>
      <w:r>
        <w:rPr>
          <w:rFonts w:ascii="Arial" w:cs="Arial" w:eastAsia="Arial" w:hAnsi="Arial"/>
          <w:b/>
          <w:bCs/>
          <w:color w:val="4A6FA5"/>
          <w:sz w:val="26"/>
          <w:szCs w:val="26"/>
        </w:rPr>
        <w:t xml:space="preserve">2.4 CFTC Considerations</w:t>
      </w:r>
    </w:p>
    <w:p>
      <w:pPr>
        <w:spacing w:after="100" w:before="60"/>
      </w:pPr>
      <w:r>
        <w:rPr>
          <w:rFonts w:ascii="Arial" w:cs="Arial" w:eastAsia="Arial" w:hAnsi="Arial"/>
          <w:color w:val="1A1A1A"/>
          <w:sz w:val="22"/>
          <w:szCs w:val="22"/>
        </w:rPr>
        <w:t xml:space="preserve">If any HomeToken instruments are structured as derivatives (options on token value, futures contracts on property prices), the CFTC may assert jurisdiction. The platform should structure its instruments as equity-like instruments, not derivatives, to avoid CFTC overlap with SEC jurisdiction.</w:t>
      </w:r>
    </w:p>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3. Wyoming — Launch Jurisdiction Analysis</w:t>
      </w:r>
    </w:p>
    <w:p>
      <w:pPr>
        <w:pStyle w:val="Heading2"/>
        <w:spacing w:after="80" w:before="280"/>
      </w:pPr>
      <w:r>
        <w:rPr>
          <w:rFonts w:ascii="Arial" w:cs="Arial" w:eastAsia="Arial" w:hAnsi="Arial"/>
          <w:b/>
          <w:bCs/>
          <w:color w:val="4A6FA5"/>
          <w:sz w:val="26"/>
          <w:szCs w:val="26"/>
        </w:rPr>
        <w:t xml:space="preserve">3.1 Why Wyoming is the Optimal Launch State</w:t>
      </w:r>
    </w:p>
    <w:p>
      <w:pPr>
        <w:spacing w:after="100" w:before="60"/>
      </w:pPr>
      <w:r>
        <w:rPr>
          <w:rFonts w:ascii="Arial" w:cs="Arial" w:eastAsia="Arial" w:hAnsi="Arial"/>
          <w:color w:val="1A1A1A"/>
          <w:sz w:val="22"/>
          <w:szCs w:val="22"/>
        </w:rPr>
        <w:t xml:space="preserve">Wyoming has enacted the most comprehensive and explicitly tokenization-friendly legal framework of any U.S. state. The relevant statutory developments include: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Wyoming Statute / Framework</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Year Enacted</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HomeToken Relevance</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Wyoming Digital Asset Management Act</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2019 (updated 2021)</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Provides legal property rights for digital asset holders; tokens as property</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Wyoming SPDI Charter</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2019</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Enables crypto-native banking; potential custody solution</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Decentralized Autonomous Organization (DAO) LLC</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2021</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Novel entity structures for token governance</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Wyoming Tokenized Securities Framework</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2019+</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Explicit recognition of tokenized securities under state law</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Wyoming Digital Asset Act</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2022</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Clarifies treatment of digital assets in commercial law (UCC Article 12 analog)</w:t>
            </w:r>
          </w:p>
        </w:tc>
      </w:tr>
    </w:tbl>
    <w:p>
      <w:pPr>
        <w:spacing w:after="120" w:before="0"/>
      </w:pPr>
      <w:r>
        <w:t xml:space="preserve"/>
      </w:r>
    </w:p>
    <w:p>
      <w:pPr>
        <w:pStyle w:val="Heading2"/>
        <w:spacing w:after="80" w:before="280"/>
      </w:pPr>
      <w:r>
        <w:rPr>
          <w:rFonts w:ascii="Arial" w:cs="Arial" w:eastAsia="Arial" w:hAnsi="Arial"/>
          <w:b/>
          <w:bCs/>
          <w:color w:val="4A6FA5"/>
          <w:sz w:val="26"/>
          <w:szCs w:val="26"/>
        </w:rPr>
        <w:t xml:space="preserve">3.2 Wyoming Real Estate Law Considerations</w:t>
      </w:r>
    </w:p>
    <w:p>
      <w:pPr>
        <w:pStyle w:val="Heading3"/>
        <w:spacing w:after="60" w:before="200"/>
      </w:pPr>
      <w:r>
        <w:rPr>
          <w:rFonts w:ascii="Arial" w:cs="Arial" w:eastAsia="Arial" w:hAnsi="Arial"/>
          <w:b/>
          <w:bCs/>
          <w:color w:val="1B2A4A"/>
          <w:sz w:val="22"/>
          <w:szCs w:val="22"/>
        </w:rPr>
        <w:t xml:space="preserve">Deed of Trust vs. Token Structure</w:t>
      </w:r>
    </w:p>
    <w:p>
      <w:pPr>
        <w:spacing w:after="100" w:before="60"/>
      </w:pPr>
      <w:r>
        <w:rPr>
          <w:rFonts w:ascii="Arial" w:cs="Arial" w:eastAsia="Arial" w:hAnsi="Arial"/>
          <w:color w:val="1A1A1A"/>
          <w:sz w:val="22"/>
          <w:szCs w:val="22"/>
        </w:rPr>
        <w:t xml:space="preserve">Wyoming uses deed of trust structures for mortgage lending. HomeToken tokens do not transfer the deed of trust — they represent synthetic equity interests. The platform must clearly document that token issuance does not create a second lien, does not violate the mortgage's due-on-sale clause, and does not trigger title insurance exceptions.</w:t>
      </w:r>
    </w:p>
    <w:p>
      <w:pPr>
        <w:spacing w:after="120" w:before="0"/>
      </w:pPr>
      <w:r>
        <w:t xml:space="preserve"/>
      </w:r>
    </w:p>
    <w:p>
      <w:pPr>
        <w:pStyle w:val="Heading3"/>
        <w:spacing w:after="60" w:before="200"/>
      </w:pPr>
      <w:r>
        <w:rPr>
          <w:rFonts w:ascii="Arial" w:cs="Arial" w:eastAsia="Arial" w:hAnsi="Arial"/>
          <w:b/>
          <w:bCs/>
          <w:color w:val="1B2A4A"/>
          <w:sz w:val="22"/>
          <w:szCs w:val="22"/>
        </w:rPr>
        <w:t xml:space="preserve">Due-on-Sale Clause Risk</w:t>
      </w:r>
    </w:p>
    <w:p>
      <w:pPr>
        <w:spacing w:after="100" w:before="60"/>
      </w:pPr>
      <w:r>
        <w:rPr>
          <w:rFonts w:ascii="Arial" w:cs="Arial" w:eastAsia="Arial" w:hAnsi="Arial"/>
          <w:color w:val="1A1A1A"/>
          <w:sz w:val="22"/>
          <w:szCs w:val="22"/>
        </w:rPr>
        <w:t xml:space="preserve">Most residential mortgages contain a due-on-sale clause, which allows the lender to demand full repayment if the borrower transfers any interest in the property. The legal question is whether issuing tokens (which are not a deed transfer) triggers this clause. Legal analysis suggests it likely does not for a synthetic equity layer that does not transfer title or a recorded interest, but lender consent should be obtained wherever possible, particularly for large institutional mortgage holders.</w:t>
      </w:r>
    </w:p>
    <w:p>
      <w:pPr>
        <w:spacing w:after="120" w:before="0"/>
      </w:pPr>
      <w:r>
        <w:t xml:space="preserve"/>
      </w:r>
    </w:p>
    <w:p>
      <w:pPr>
        <w:pStyle w:val="Heading3"/>
        <w:spacing w:after="60" w:before="200"/>
      </w:pPr>
      <w:r>
        <w:rPr>
          <w:rFonts w:ascii="Arial" w:cs="Arial" w:eastAsia="Arial" w:hAnsi="Arial"/>
          <w:b/>
          <w:bCs/>
          <w:color w:val="1B2A4A"/>
          <w:sz w:val="22"/>
          <w:szCs w:val="22"/>
        </w:rPr>
        <w:t xml:space="preserve">Title Insurance</w:t>
      </w:r>
    </w:p>
    <w:p>
      <w:pPr>
        <w:spacing w:after="100" w:before="60"/>
      </w:pPr>
      <w:r>
        <w:rPr>
          <w:rFonts w:ascii="Arial" w:cs="Arial" w:eastAsia="Arial" w:hAnsi="Arial"/>
          <w:color w:val="1A1A1A"/>
          <w:sz w:val="22"/>
          <w:szCs w:val="22"/>
        </w:rPr>
        <w:t xml:space="preserve">HomeToken should work proactively with Wyoming-admitted title insurance underwriters to develop an endorsement product that covers the tokenized equity structure. A title insurance product that explicitly covers the token layer will be a significant marketing and risk management asset.</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3.3 Wyoming SPDI Charter — Potential Platform Structure</w:t>
      </w:r>
    </w:p>
    <w:p>
      <w:pPr>
        <w:spacing w:after="100" w:before="60"/>
      </w:pPr>
      <w:r>
        <w:rPr>
          <w:rFonts w:ascii="Arial" w:cs="Arial" w:eastAsia="Arial" w:hAnsi="Arial"/>
          <w:color w:val="1A1A1A"/>
          <w:sz w:val="22"/>
          <w:szCs w:val="22"/>
        </w:rPr>
        <w:t xml:space="preserve">A Wyoming Special Purpose Depository Institution (SPDI) is a bank-like charter specifically designed for digital asset custody. If HomeToken obtains or partners with an SPDI:</w:t>
      </w:r>
    </w:p>
    <w:p>
      <w:pPr>
        <w:pStyle w:val="ListParagraph"/>
        <w:numPr>
          <w:ilvl w:val="0"/>
          <w:numId w:val="2"/>
        </w:numPr>
        <w:spacing w:after="40" w:before="40"/>
      </w:pPr>
      <w:r>
        <w:rPr>
          <w:rFonts w:ascii="Arial" w:cs="Arial" w:eastAsia="Arial" w:hAnsi="Arial"/>
          <w:color w:val="1A1A1A"/>
          <w:sz w:val="22"/>
          <w:szCs w:val="22"/>
        </w:rPr>
        <w:t xml:space="preserve">Tokens can be custodied under a regulated banking framework</w:t>
      </w:r>
    </w:p>
    <w:p>
      <w:pPr>
        <w:pStyle w:val="ListParagraph"/>
        <w:numPr>
          <w:ilvl w:val="0"/>
          <w:numId w:val="2"/>
        </w:numPr>
        <w:spacing w:after="40" w:before="40"/>
      </w:pPr>
      <w:r>
        <w:rPr>
          <w:rFonts w:ascii="Arial" w:cs="Arial" w:eastAsia="Arial" w:hAnsi="Arial"/>
          <w:color w:val="1A1A1A"/>
          <w:sz w:val="22"/>
          <w:szCs w:val="22"/>
        </w:rPr>
        <w:t xml:space="preserve">Client assets are legally separated from platform assets</w:t>
      </w:r>
    </w:p>
    <w:p>
      <w:pPr>
        <w:pStyle w:val="ListParagraph"/>
        <w:numPr>
          <w:ilvl w:val="0"/>
          <w:numId w:val="2"/>
        </w:numPr>
        <w:spacing w:after="40" w:before="40"/>
      </w:pPr>
      <w:r>
        <w:rPr>
          <w:rFonts w:ascii="Arial" w:cs="Arial" w:eastAsia="Arial" w:hAnsi="Arial"/>
          <w:color w:val="1A1A1A"/>
          <w:sz w:val="22"/>
          <w:szCs w:val="22"/>
        </w:rPr>
        <w:t xml:space="preserve">Provides a regulated custody solution that may satisfy SEC requirements for tokenized securities</w:t>
      </w:r>
    </w:p>
    <w:p>
      <w:pPr>
        <w:pStyle w:val="ListParagraph"/>
        <w:numPr>
          <w:ilvl w:val="0"/>
          <w:numId w:val="2"/>
        </w:numPr>
        <w:spacing w:after="40" w:before="40"/>
      </w:pPr>
      <w:r>
        <w:rPr>
          <w:rFonts w:ascii="Arial" w:cs="Arial" w:eastAsia="Arial" w:hAnsi="Arial"/>
          <w:color w:val="1A1A1A"/>
          <w:sz w:val="22"/>
          <w:szCs w:val="22"/>
        </w:rPr>
        <w:t xml:space="preserve">Significantly enhances institutional credibility and trust with homeowners</w:t>
      </w:r>
    </w:p>
    <w:p>
      <w:pPr>
        <w:spacing w:after="120" w:before="0"/>
      </w:pPr>
      <w:r>
        <w:t xml:space="preserve"/>
      </w:r>
    </w:p>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4. State-by-State Expansion Analysis</w:t>
      </w:r>
    </w:p>
    <w:p>
      <w:pPr>
        <w:pStyle w:val="Heading2"/>
        <w:spacing w:after="80" w:before="280"/>
      </w:pPr>
      <w:r>
        <w:rPr>
          <w:rFonts w:ascii="Arial" w:cs="Arial" w:eastAsia="Arial" w:hAnsi="Arial"/>
          <w:b/>
          <w:bCs/>
          <w:color w:val="4A6FA5"/>
          <w:sz w:val="26"/>
          <w:szCs w:val="26"/>
        </w:rPr>
        <w:t xml:space="preserve">4.1 Phase 2 Target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State</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Tokenization Posture</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Real Estate Law</w:t>
            </w:r>
          </w:p>
        </w:tc>
        <w:tc>
          <w:tcPr>
            <w:tcW w:type="dxa" w:w="27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HomeToken Assessment</w:t>
            </w:r>
          </w:p>
        </w:tc>
      </w:tr>
      <w:tr>
        <w:tc>
          <w:tcPr>
            <w:tcW w:type="dxa" w:w="18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Wyoming</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Very favorable — explicit statutory framework</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Deed of trust; due-on-sale analysis needed</w:t>
            </w:r>
          </w:p>
        </w:tc>
        <w:tc>
          <w:tcPr>
            <w:tcW w:type="dxa" w:w="276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Launch jurisdiction — Tier 1</w:t>
            </w:r>
          </w:p>
        </w:tc>
      </w:tr>
      <w:tr>
        <w:tc>
          <w:tcPr>
            <w:tcW w:type="dxa" w:w="1800"/>
            <w:tcBorders>
              <w:top w:val="single" w:color="D0D7E2" w:sz="1"/>
              <w:left w:val="single" w:color="D0D7E2" w:sz="1"/>
              <w:bottom w:val="single" w:color="D0D7E2" w:sz="1"/>
              <w:right w:val="single" w:color="D0D7E2" w:sz="1"/>
            </w:tcBorders>
            <w:shd w:fill="F2F4F7" w:val="clear"/>
            <w:tcMar>
              <w:top w:type="dxa" w:w="100"/>
              <w:left w:type="dxa" w:w="160"/>
              <w:bottom w:type="dxa" w:w="100"/>
              <w:right w:type="dxa" w:w="160"/>
            </w:tcMar>
          </w:tcPr>
          <w:p>
            <w:r>
              <w:rPr>
                <w:rFonts w:ascii="Arial" w:cs="Arial" w:eastAsia="Arial" w:hAnsi="Arial"/>
                <w:color w:val="1A1A1A"/>
                <w:sz w:val="20"/>
                <w:szCs w:val="20"/>
              </w:rPr>
              <w:t xml:space="preserve">Nevada</w:t>
            </w:r>
          </w:p>
        </w:tc>
        <w:tc>
          <w:tcPr>
            <w:tcW w:type="dxa" w:w="2400"/>
            <w:tcBorders>
              <w:top w:val="single" w:color="D0D7E2" w:sz="1"/>
              <w:left w:val="single" w:color="D0D7E2" w:sz="1"/>
              <w:bottom w:val="single" w:color="D0D7E2" w:sz="1"/>
              <w:right w:val="single" w:color="D0D7E2" w:sz="1"/>
            </w:tcBorders>
            <w:shd w:fill="F2F4F7" w:val="clear"/>
            <w:tcMar>
              <w:top w:type="dxa" w:w="100"/>
              <w:left w:type="dxa" w:w="160"/>
              <w:bottom w:type="dxa" w:w="100"/>
              <w:right w:type="dxa" w:w="160"/>
            </w:tcMar>
          </w:tcPr>
          <w:p>
            <w:r>
              <w:rPr>
                <w:rFonts w:ascii="Arial" w:cs="Arial" w:eastAsia="Arial" w:hAnsi="Arial"/>
                <w:color w:val="1A1A1A"/>
                <w:sz w:val="20"/>
                <w:szCs w:val="20"/>
              </w:rPr>
              <w:t xml:space="preserve">Favorable — Nevada law amended for blockchain records</w:t>
            </w:r>
          </w:p>
        </w:tc>
        <w:tc>
          <w:tcPr>
            <w:tcW w:type="dxa" w:w="2400"/>
            <w:tcBorders>
              <w:top w:val="single" w:color="D0D7E2" w:sz="1"/>
              <w:left w:val="single" w:color="D0D7E2" w:sz="1"/>
              <w:bottom w:val="single" w:color="D0D7E2" w:sz="1"/>
              <w:right w:val="single" w:color="D0D7E2" w:sz="1"/>
            </w:tcBorders>
            <w:shd w:fill="F2F4F7" w:val="clear"/>
            <w:tcMar>
              <w:top w:type="dxa" w:w="100"/>
              <w:left w:type="dxa" w:w="160"/>
              <w:bottom w:type="dxa" w:w="100"/>
              <w:right w:type="dxa" w:w="160"/>
            </w:tcMar>
          </w:tcPr>
          <w:p>
            <w:r>
              <w:rPr>
                <w:rFonts w:ascii="Arial" w:cs="Arial" w:eastAsia="Arial" w:hAnsi="Arial"/>
                <w:color w:val="1A1A1A"/>
                <w:sz w:val="20"/>
                <w:szCs w:val="20"/>
              </w:rPr>
              <w:t xml:space="preserve">Lender consent likely required for token layer</w:t>
            </w:r>
          </w:p>
        </w:tc>
        <w:tc>
          <w:tcPr>
            <w:tcW w:type="dxa" w:w="2760"/>
            <w:tcBorders>
              <w:top w:val="single" w:color="D0D7E2" w:sz="1"/>
              <w:left w:val="single" w:color="D0D7E2" w:sz="1"/>
              <w:bottom w:val="single" w:color="D0D7E2" w:sz="1"/>
              <w:right w:val="single" w:color="D0D7E2" w:sz="1"/>
            </w:tcBorders>
            <w:shd w:fill="F2F4F7" w:val="clear"/>
            <w:tcMar>
              <w:top w:type="dxa" w:w="100"/>
              <w:left w:type="dxa" w:w="160"/>
              <w:bottom w:type="dxa" w:w="100"/>
              <w:right w:type="dxa" w:w="160"/>
            </w:tcMar>
          </w:tcPr>
          <w:p>
            <w:r>
              <w:rPr>
                <w:rFonts w:ascii="Arial" w:cs="Arial" w:eastAsia="Arial" w:hAnsi="Arial"/>
                <w:color w:val="1A1A1A"/>
                <w:sz w:val="20"/>
                <w:szCs w:val="20"/>
              </w:rPr>
              <w:t xml:space="preserve">Phase 2 — strong market in Las Vegas, Henderson</w:t>
            </w:r>
          </w:p>
        </w:tc>
      </w:tr>
      <w:tr>
        <w:tc>
          <w:tcPr>
            <w:tcW w:type="dxa" w:w="18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Texas</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Developing — no explicit framework but litigation-friendly</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Homestead exemption laws require careful structuring</w:t>
            </w:r>
          </w:p>
        </w:tc>
        <w:tc>
          <w:tcPr>
            <w:tcW w:type="dxa" w:w="276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Phase 2 — large market; homestead law complexity</w:t>
            </w:r>
          </w:p>
        </w:tc>
      </w:tr>
      <w:tr>
        <w:tc>
          <w:tcPr>
            <w:tcW w:type="dxa" w:w="1800"/>
            <w:tcBorders>
              <w:top w:val="single" w:color="D0D7E2" w:sz="1"/>
              <w:left w:val="single" w:color="D0D7E2" w:sz="1"/>
              <w:bottom w:val="single" w:color="D0D7E2" w:sz="1"/>
              <w:right w:val="single" w:color="D0D7E2" w:sz="1"/>
            </w:tcBorders>
            <w:shd w:fill="F2F4F7" w:val="clear"/>
            <w:tcMar>
              <w:top w:type="dxa" w:w="100"/>
              <w:left w:type="dxa" w:w="160"/>
              <w:bottom w:type="dxa" w:w="100"/>
              <w:right w:type="dxa" w:w="160"/>
            </w:tcMar>
          </w:tcPr>
          <w:p>
            <w:r>
              <w:rPr>
                <w:rFonts w:ascii="Arial" w:cs="Arial" w:eastAsia="Arial" w:hAnsi="Arial"/>
                <w:color w:val="1A1A1A"/>
                <w:sz w:val="20"/>
                <w:szCs w:val="20"/>
              </w:rPr>
              <w:t xml:space="preserve">Florida</w:t>
            </w:r>
          </w:p>
        </w:tc>
        <w:tc>
          <w:tcPr>
            <w:tcW w:type="dxa" w:w="2400"/>
            <w:tcBorders>
              <w:top w:val="single" w:color="D0D7E2" w:sz="1"/>
              <w:left w:val="single" w:color="D0D7E2" w:sz="1"/>
              <w:bottom w:val="single" w:color="D0D7E2" w:sz="1"/>
              <w:right w:val="single" w:color="D0D7E2" w:sz="1"/>
            </w:tcBorders>
            <w:shd w:fill="F2F4F7" w:val="clear"/>
            <w:tcMar>
              <w:top w:type="dxa" w:w="100"/>
              <w:left w:type="dxa" w:w="160"/>
              <w:bottom w:type="dxa" w:w="100"/>
              <w:right w:type="dxa" w:w="160"/>
            </w:tcMar>
          </w:tcPr>
          <w:p>
            <w:r>
              <w:rPr>
                <w:rFonts w:ascii="Arial" w:cs="Arial" w:eastAsia="Arial" w:hAnsi="Arial"/>
                <w:color w:val="1A1A1A"/>
                <w:sz w:val="20"/>
                <w:szCs w:val="20"/>
              </w:rPr>
              <w:t xml:space="preserve">Neutral — no explicit framework; general commercial law applies</w:t>
            </w:r>
          </w:p>
        </w:tc>
        <w:tc>
          <w:tcPr>
            <w:tcW w:type="dxa" w:w="2400"/>
            <w:tcBorders>
              <w:top w:val="single" w:color="D0D7E2" w:sz="1"/>
              <w:left w:val="single" w:color="D0D7E2" w:sz="1"/>
              <w:bottom w:val="single" w:color="D0D7E2" w:sz="1"/>
              <w:right w:val="single" w:color="D0D7E2" w:sz="1"/>
            </w:tcBorders>
            <w:shd w:fill="F2F4F7" w:val="clear"/>
            <w:tcMar>
              <w:top w:type="dxa" w:w="100"/>
              <w:left w:type="dxa" w:w="160"/>
              <w:bottom w:type="dxa" w:w="100"/>
              <w:right w:type="dxa" w:w="160"/>
            </w:tcMar>
          </w:tcPr>
          <w:p>
            <w:r>
              <w:rPr>
                <w:rFonts w:ascii="Arial" w:cs="Arial" w:eastAsia="Arial" w:hAnsi="Arial"/>
                <w:color w:val="1A1A1A"/>
                <w:sz w:val="20"/>
                <w:szCs w:val="20"/>
              </w:rPr>
              <w:t xml:space="preserve">Homestead exemption very strong; careful analysis needed</w:t>
            </w:r>
          </w:p>
        </w:tc>
        <w:tc>
          <w:tcPr>
            <w:tcW w:type="dxa" w:w="2760"/>
            <w:tcBorders>
              <w:top w:val="single" w:color="D0D7E2" w:sz="1"/>
              <w:left w:val="single" w:color="D0D7E2" w:sz="1"/>
              <w:bottom w:val="single" w:color="D0D7E2" w:sz="1"/>
              <w:right w:val="single" w:color="D0D7E2" w:sz="1"/>
            </w:tcBorders>
            <w:shd w:fill="F2F4F7" w:val="clear"/>
            <w:tcMar>
              <w:top w:type="dxa" w:w="100"/>
              <w:left w:type="dxa" w:w="160"/>
              <w:bottom w:type="dxa" w:w="100"/>
              <w:right w:type="dxa" w:w="160"/>
            </w:tcMar>
          </w:tcPr>
          <w:p>
            <w:r>
              <w:rPr>
                <w:rFonts w:ascii="Arial" w:cs="Arial" w:eastAsia="Arial" w:hAnsi="Arial"/>
                <w:color w:val="1A1A1A"/>
                <w:sz w:val="20"/>
                <w:szCs w:val="20"/>
              </w:rPr>
              <w:t xml:space="preserve">Phase 2 — massive market; homestead law is primary obstacle</w:t>
            </w:r>
          </w:p>
        </w:tc>
      </w:tr>
      <w:tr>
        <w:tc>
          <w:tcPr>
            <w:tcW w:type="dxa" w:w="18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California</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Unfavorable — aggressive regulatory posture; DFI active</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Community property and Prop 13 transfer issues</w:t>
            </w:r>
          </w:p>
        </w:tc>
        <w:tc>
          <w:tcPr>
            <w:tcW w:type="dxa" w:w="276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Phase 3 — large market but complex; defer until framework mature</w:t>
            </w:r>
          </w:p>
        </w:tc>
      </w:tr>
    </w:tbl>
    <w:p>
      <w:pPr>
        <w:spacing w:after="120" w:before="0"/>
      </w:pPr>
      <w:r>
        <w:t xml:space="preserve"/>
      </w:r>
    </w:p>
    <w:p>
      <w:pPr>
        <w:pStyle w:val="Heading2"/>
        <w:spacing w:after="80" w:before="280"/>
      </w:pPr>
      <w:r>
        <w:rPr>
          <w:rFonts w:ascii="Arial" w:cs="Arial" w:eastAsia="Arial" w:hAnsi="Arial"/>
          <w:b/>
          <w:bCs/>
          <w:color w:val="4A6FA5"/>
          <w:sz w:val="26"/>
          <w:szCs w:val="26"/>
        </w:rPr>
        <w:t xml:space="preserve">4.2 Texas Homestead Law — Key Issue</w:t>
      </w:r>
    </w:p>
    <w:p>
      <w:pPr>
        <w:spacing w:after="100" w:before="60"/>
      </w:pPr>
      <w:r>
        <w:rPr>
          <w:rFonts w:ascii="Arial" w:cs="Arial" w:eastAsia="Arial" w:hAnsi="Arial"/>
          <w:color w:val="1A1A1A"/>
          <w:sz w:val="22"/>
          <w:szCs w:val="22"/>
        </w:rPr>
        <w:t xml:space="preserve">Texas has among the strongest homestead protections in the United States. A homestead cannot be encumbered except for purchase money liens, home improvement loans, home equity loans (under specific constitutional limitations), and a few other narrow categories. Tokenizing equity against a Texas homestead requires careful analysis of whether the token structure constitutes an impermissible encumbrance under the Texas Constitution. This is a solvable problem but requires Texas-specific counsel.</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4.3 Florida Homestead Law — Key Issue</w:t>
      </w:r>
    </w:p>
    <w:p>
      <w:pPr>
        <w:spacing w:after="100" w:before="60"/>
      </w:pPr>
      <w:r>
        <w:rPr>
          <w:rFonts w:ascii="Arial" w:cs="Arial" w:eastAsia="Arial" w:hAnsi="Arial"/>
          <w:color w:val="1A1A1A"/>
          <w:sz w:val="22"/>
          <w:szCs w:val="22"/>
        </w:rPr>
        <w:t xml:space="preserve">Florida's homestead exemption protects against forced sale and restricts the ability to alienate or encumber the property in certain ways. Similar to Texas, the Florida homestead must be analyzed carefully before launching in that state. Florida's homestead protections also have estate/inheritance implications that intersect with the platform's reverse mortgage replacement and estate settlement use cases.</w:t>
      </w:r>
    </w:p>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5. Consumer Financial Protection — CFPB Analysis</w:t>
      </w:r>
    </w:p>
    <w:p>
      <w:pPr>
        <w:pStyle w:val="Heading2"/>
        <w:spacing w:after="80" w:before="280"/>
      </w:pPr>
      <w:r>
        <w:rPr>
          <w:rFonts w:ascii="Arial" w:cs="Arial" w:eastAsia="Arial" w:hAnsi="Arial"/>
          <w:b/>
          <w:bCs/>
          <w:color w:val="4A6FA5"/>
          <w:sz w:val="26"/>
          <w:szCs w:val="26"/>
        </w:rPr>
        <w:t xml:space="preserve">5.1 CFPB Jurisdiction</w:t>
      </w:r>
    </w:p>
    <w:p>
      <w:pPr>
        <w:spacing w:after="100" w:before="60"/>
      </w:pPr>
      <w:r>
        <w:rPr>
          <w:rFonts w:ascii="Arial" w:cs="Arial" w:eastAsia="Arial" w:hAnsi="Arial"/>
          <w:color w:val="1A1A1A"/>
          <w:sz w:val="22"/>
          <w:szCs w:val="22"/>
        </w:rPr>
        <w:t xml:space="preserve">The Consumer Financial Protection Bureau has jurisdiction over 'consumer financial products and services.' The HomeToken platform's residential use cases will attract CFPB scrutiny, particularly given the reverse mortgage replacement use case. The CFPB has historically been aggressive in the senior financial products space.</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5.2 Use Case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Use Case</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CFPB Risk Level</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Key Issue</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Yield Generation (HELOC Replacement)</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Medium</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Fair lending, disclosure, and suitability requirements</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Reverse Mortgage Replacement</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High</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Senior financial protection; CFPB treats RM-adjacent products very carefully</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Marketplace (Broker Replacement)</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Low-Medium</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RESPA applicability; fee disclosure requirements</w:t>
            </w:r>
          </w:p>
        </w:tc>
      </w:tr>
    </w:tbl>
    <w:p>
      <w:pPr>
        <w:spacing w:after="120" w:before="0"/>
      </w:pPr>
      <w:r>
        <w:t xml:space="preserve"/>
      </w:r>
    </w:p>
    <w:p>
      <w:pPr>
        <w:pStyle w:val="Heading2"/>
        <w:spacing w:after="80" w:before="280"/>
      </w:pPr>
      <w:r>
        <w:rPr>
          <w:rFonts w:ascii="Arial" w:cs="Arial" w:eastAsia="Arial" w:hAnsi="Arial"/>
          <w:b/>
          <w:bCs/>
          <w:color w:val="4A6FA5"/>
          <w:sz w:val="26"/>
          <w:szCs w:val="26"/>
        </w:rPr>
        <w:t xml:space="preserve">5.3 Reverse Mortgage Replacement — CFPB Engagement Strategy</w:t>
      </w:r>
    </w:p>
    <w:p>
      <w:pPr>
        <w:spacing w:after="100" w:before="60"/>
      </w:pPr>
      <w:r>
        <w:rPr>
          <w:rFonts w:ascii="Arial" w:cs="Arial" w:eastAsia="Arial" w:hAnsi="Arial"/>
          <w:color w:val="1A1A1A"/>
          <w:sz w:val="22"/>
          <w:szCs w:val="22"/>
        </w:rPr>
        <w:t xml:space="preserve">The platform's reverse mortgage replacement use case will face the most regulatory scrutiny. The CFPB has extensive rules governing Home Equity Conversion Mortgages (HECMs) — the federal reverse mortgage program — and has signaled it views senior home equity products as a priority area.</w:t>
      </w:r>
    </w:p>
    <w:p>
      <w:pPr>
        <w:spacing w:after="120" w:before="0"/>
      </w:pPr>
      <w:r>
        <w:t xml:space="preserve"/>
      </w:r>
    </w:p>
    <w:p>
      <w:pPr>
        <w:spacing w:after="100" w:before="60"/>
      </w:pPr>
      <w:r>
        <w:rPr>
          <w:rFonts w:ascii="Arial" w:cs="Arial" w:eastAsia="Arial" w:hAnsi="Arial"/>
          <w:color w:val="1A1A1A"/>
          <w:sz w:val="22"/>
          <w:szCs w:val="22"/>
        </w:rPr>
        <w:t xml:space="preserve">HomeToken's key argument to regulators is structural: the platform does not create a loan, does not accrue interest, and does not put the homeowner's title at risk of foreclosure. The homeowner retains all tokens and can stop selling at any time. This is categorically different from a reverse mortgage. However, this argument must be made proactively and in writing to the CFPB through a no-action letter request or informal guidance before launch.</w:t>
      </w:r>
    </w:p>
    <w:p>
      <w:pPr>
        <w:spacing w:after="120" w:before="0"/>
      </w:pPr>
      <w:r>
        <w:t xml:space="preserve"/>
      </w:r>
    </w:p>
    <w:tbl>
      <w:tblPr>
        <w:tblW w:type="dxa" w:w="9360"/>
        <w:tblBorders>
          <w:top w:val="single" w:color="C9A84C" w:sz="1"/>
          <w:left w:val="single" w:color="C9A84C" w:sz="20"/>
          <w:bottom w:val="single" w:color="C9A84C" w:sz="1"/>
          <w:right w:val="single" w:color="C9A84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80"/>
              <w:left w:type="dxa" w:w="240"/>
              <w:bottom w:type="dxa" w:w="180"/>
              <w:right w:type="dxa" w:w="240"/>
            </w:tcMar>
          </w:tcPr>
          <w:p>
            <w:pPr>
              <w:spacing w:after="60" w:before="0"/>
            </w:pPr>
            <w:r>
              <w:rPr>
                <w:rFonts w:ascii="Arial" w:cs="Arial" w:eastAsia="Arial" w:hAnsi="Arial"/>
                <w:b/>
                <w:bCs/>
                <w:color w:val="C9A84C"/>
                <w:sz w:val="20"/>
                <w:szCs w:val="20"/>
              </w:rPr>
              <w:t xml:space="preserve">Recommended Action</w:t>
            </w:r>
          </w:p>
          <w:p>
            <w:pPr>
              <w:spacing w:after="0" w:before="0"/>
            </w:pPr>
            <w:r>
              <w:rPr>
                <w:rFonts w:ascii="Arial" w:cs="Arial" w:eastAsia="Arial" w:hAnsi="Arial"/>
                <w:color w:val="1A1A1A"/>
                <w:sz w:val="21"/>
                <w:szCs w:val="21"/>
              </w:rPr>
              <w:t xml:space="preserve">Before marketing any HomeToken product as a 'reverse mortgage alternative,' engage directly with the CFPB's Office of Innovation (Project Catalyst) to seek informal guidance or a no-action letter. Frame the platform as a consumer empowerment tool that reduces reliance on predatory products — the CFPB is structurally receptive to this framing.</w:t>
            </w:r>
          </w:p>
        </w:tc>
      </w:tr>
    </w:tbl>
    <w:p>
      <w:pPr>
        <w:spacing w:after="120" w:before="0"/>
      </w:pPr>
      <w:r>
        <w:t xml:space="preserve"/>
      </w:r>
    </w:p>
    <w:p>
      <w:pPr>
        <w:pStyle w:val="Heading2"/>
        <w:spacing w:after="80" w:before="280"/>
      </w:pPr>
      <w:r>
        <w:rPr>
          <w:rFonts w:ascii="Arial" w:cs="Arial" w:eastAsia="Arial" w:hAnsi="Arial"/>
          <w:b/>
          <w:bCs/>
          <w:color w:val="4A6FA5"/>
          <w:sz w:val="26"/>
          <w:szCs w:val="26"/>
        </w:rPr>
        <w:t xml:space="preserve">5.4 RESPA — Real Estate Settlement Procedures Act</w:t>
      </w:r>
    </w:p>
    <w:p>
      <w:pPr>
        <w:spacing w:after="100" w:before="60"/>
      </w:pPr>
      <w:r>
        <w:rPr>
          <w:rFonts w:ascii="Arial" w:cs="Arial" w:eastAsia="Arial" w:hAnsi="Arial"/>
          <w:color w:val="1A1A1A"/>
          <w:sz w:val="22"/>
          <w:szCs w:val="22"/>
        </w:rPr>
        <w:t xml:space="preserve">RESPA regulates settlement services for federally-related mortgage loans. Relevant provisions for HomeToken:</w:t>
      </w:r>
    </w:p>
    <w:p>
      <w:pPr>
        <w:pStyle w:val="ListParagraph"/>
        <w:numPr>
          <w:ilvl w:val="0"/>
          <w:numId w:val="2"/>
        </w:numPr>
        <w:spacing w:after="40" w:before="40"/>
      </w:pPr>
      <w:r>
        <w:rPr>
          <w:rFonts w:ascii="Arial" w:cs="Arial" w:eastAsia="Arial" w:hAnsi="Arial"/>
          <w:color w:val="1A1A1A"/>
          <w:sz w:val="22"/>
          <w:szCs w:val="22"/>
        </w:rPr>
        <w:t xml:space="preserve">Section 8: prohibits kickbacks and fee-splitting between settlement service providers</w:t>
      </w:r>
    </w:p>
    <w:p>
      <w:pPr>
        <w:pStyle w:val="ListParagraph"/>
        <w:numPr>
          <w:ilvl w:val="0"/>
          <w:numId w:val="2"/>
        </w:numPr>
        <w:spacing w:after="40" w:before="40"/>
      </w:pPr>
      <w:r>
        <w:rPr>
          <w:rFonts w:ascii="Arial" w:cs="Arial" w:eastAsia="Arial" w:hAnsi="Arial"/>
          <w:color w:val="1A1A1A"/>
          <w:sz w:val="22"/>
          <w:szCs w:val="22"/>
        </w:rPr>
        <w:t xml:space="preserve">Section 9: prohibits sellers from requiring buyers to use a specific title company</w:t>
      </w:r>
    </w:p>
    <w:p>
      <w:pPr>
        <w:pStyle w:val="ListParagraph"/>
        <w:numPr>
          <w:ilvl w:val="0"/>
          <w:numId w:val="2"/>
        </w:numPr>
        <w:spacing w:after="40" w:before="40"/>
      </w:pPr>
      <w:r>
        <w:rPr>
          <w:rFonts w:ascii="Arial" w:cs="Arial" w:eastAsia="Arial" w:hAnsi="Arial"/>
          <w:color w:val="1A1A1A"/>
          <w:sz w:val="22"/>
          <w:szCs w:val="22"/>
        </w:rPr>
        <w:t xml:space="preserve">RESPA disclosure requirements apply to 'settlement services' as defined</w:t>
      </w:r>
    </w:p>
    <w:p>
      <w:pPr>
        <w:spacing w:after="100" w:before="60"/>
      </w:pPr>
      <w:r>
        <w:rPr>
          <w:rFonts w:ascii="Arial" w:cs="Arial" w:eastAsia="Arial" w:hAnsi="Arial"/>
          <w:color w:val="1A1A1A"/>
          <w:sz w:val="22"/>
          <w:szCs w:val="22"/>
        </w:rPr>
        <w:t xml:space="preserve">Analysis: RESPA is most relevant to the marketplace use case. HomeToken's marketplace transaction fees are clearly disclosed and do not involve kickbacks or undisclosed compensation. The platform should obtain RESPA counsel review of its marketplace fee structure to confirm compliance.</w:t>
      </w:r>
    </w:p>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6. Digital Asset Regulatory Framework</w:t>
      </w:r>
    </w:p>
    <w:p>
      <w:pPr>
        <w:pStyle w:val="Heading2"/>
        <w:spacing w:after="80" w:before="280"/>
      </w:pPr>
      <w:r>
        <w:rPr>
          <w:rFonts w:ascii="Arial" w:cs="Arial" w:eastAsia="Arial" w:hAnsi="Arial"/>
          <w:b/>
          <w:bCs/>
          <w:color w:val="4A6FA5"/>
          <w:sz w:val="26"/>
          <w:szCs w:val="26"/>
        </w:rPr>
        <w:t xml:space="preserve">6.1 Federal Digital Asset Policy — Current State</w:t>
      </w:r>
    </w:p>
    <w:p>
      <w:pPr>
        <w:spacing w:after="100" w:before="60"/>
      </w:pPr>
      <w:r>
        <w:rPr>
          <w:rFonts w:ascii="Arial" w:cs="Arial" w:eastAsia="Arial" w:hAnsi="Arial"/>
          <w:color w:val="1A1A1A"/>
          <w:sz w:val="22"/>
          <w:szCs w:val="22"/>
        </w:rPr>
        <w:t xml:space="preserve">The U.S. federal regulatory framework for digital assets remains in active development as of 2025. Key developments relevant to HomeToken:</w:t>
      </w:r>
    </w:p>
    <w:p>
      <w:pPr>
        <w:pStyle w:val="ListParagraph"/>
        <w:numPr>
          <w:ilvl w:val="0"/>
          <w:numId w:val="2"/>
        </w:numPr>
        <w:spacing w:after="40" w:before="40"/>
      </w:pPr>
      <w:r>
        <w:rPr>
          <w:rFonts w:ascii="Arial" w:cs="Arial" w:eastAsia="Arial" w:hAnsi="Arial"/>
          <w:color w:val="1A1A1A"/>
          <w:sz w:val="22"/>
          <w:szCs w:val="22"/>
        </w:rPr>
        <w:t xml:space="preserve">SEC has asserted broad securities jurisdiction over most tokens through enforcement actions; tokens representing profit-sharing or investment returns are virtually universally treated as securities</w:t>
      </w:r>
    </w:p>
    <w:p>
      <w:pPr>
        <w:pStyle w:val="ListParagraph"/>
        <w:numPr>
          <w:ilvl w:val="0"/>
          <w:numId w:val="2"/>
        </w:numPr>
        <w:spacing w:after="40" w:before="40"/>
      </w:pPr>
      <w:r>
        <w:rPr>
          <w:rFonts w:ascii="Arial" w:cs="Arial" w:eastAsia="Arial" w:hAnsi="Arial"/>
          <w:color w:val="1A1A1A"/>
          <w:sz w:val="22"/>
          <w:szCs w:val="22"/>
        </w:rPr>
        <w:t xml:space="preserve">CFTC has asserted jurisdiction over commodity-linked digital assets and derivatives</w:t>
      </w:r>
    </w:p>
    <w:p>
      <w:pPr>
        <w:pStyle w:val="ListParagraph"/>
        <w:numPr>
          <w:ilvl w:val="0"/>
          <w:numId w:val="2"/>
        </w:numPr>
        <w:spacing w:after="40" w:before="40"/>
      </w:pPr>
      <w:r>
        <w:rPr>
          <w:rFonts w:ascii="Arial" w:cs="Arial" w:eastAsia="Arial" w:hAnsi="Arial"/>
          <w:color w:val="1A1A1A"/>
          <w:sz w:val="22"/>
          <w:szCs w:val="22"/>
        </w:rPr>
        <w:t xml:space="preserve">Congress has been actively developing comprehensive digital asset legislation; the legislative landscape may shift the framework materially during HomeToken's development timeline</w:t>
      </w:r>
    </w:p>
    <w:p>
      <w:pPr>
        <w:pStyle w:val="ListParagraph"/>
        <w:numPr>
          <w:ilvl w:val="0"/>
          <w:numId w:val="2"/>
        </w:numPr>
        <w:spacing w:after="40" w:before="40"/>
      </w:pPr>
      <w:r>
        <w:rPr>
          <w:rFonts w:ascii="Arial" w:cs="Arial" w:eastAsia="Arial" w:hAnsi="Arial"/>
          <w:color w:val="1A1A1A"/>
          <w:sz w:val="22"/>
          <w:szCs w:val="22"/>
        </w:rPr>
        <w:t xml:space="preserve">Treasury / FinCEN: digital asset businesses are generally treated as Money Services Businesses (MSBs) subject to Bank Secrecy Act / AML requirements — HomeToken will need BSA/AML program</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6.2 Token Standards — Compliance by Design</w:t>
      </w:r>
    </w:p>
    <w:p>
      <w:pPr>
        <w:spacing w:after="100" w:before="60"/>
      </w:pPr>
      <w:r>
        <w:rPr>
          <w:rFonts w:ascii="Arial" w:cs="Arial" w:eastAsia="Arial" w:hAnsi="Arial"/>
          <w:color w:val="1A1A1A"/>
          <w:sz w:val="22"/>
          <w:szCs w:val="22"/>
        </w:rPr>
        <w:t xml:space="preserve">HomeToken's choice of token standard is itself a regulatory decision. The ERC-1400 and ERC-3643 standards are specifically designed for security tokens and include on-chain transfer restrictions:</w:t>
      </w:r>
    </w:p>
    <w:p>
      <w:pPr>
        <w:pStyle w:val="ListParagraph"/>
        <w:numPr>
          <w:ilvl w:val="0"/>
          <w:numId w:val="2"/>
        </w:numPr>
        <w:spacing w:after="40" w:before="40"/>
      </w:pPr>
      <w:r>
        <w:rPr>
          <w:rFonts w:ascii="Arial" w:cs="Arial" w:eastAsia="Arial" w:hAnsi="Arial"/>
          <w:color w:val="1A1A1A"/>
          <w:sz w:val="22"/>
          <w:szCs w:val="22"/>
        </w:rPr>
        <w:t xml:space="preserve">Whitelist enforcement: tokens can only transfer to wallets that have completed KYC/AML verification — prevents unauthorized transfers and enforces Reg D investor qualification</w:t>
      </w:r>
    </w:p>
    <w:p>
      <w:pPr>
        <w:pStyle w:val="ListParagraph"/>
        <w:numPr>
          <w:ilvl w:val="0"/>
          <w:numId w:val="2"/>
        </w:numPr>
        <w:spacing w:after="40" w:before="40"/>
      </w:pPr>
      <w:r>
        <w:rPr>
          <w:rFonts w:ascii="Arial" w:cs="Arial" w:eastAsia="Arial" w:hAnsi="Arial"/>
          <w:color w:val="1A1A1A"/>
          <w:sz w:val="22"/>
          <w:szCs w:val="22"/>
        </w:rPr>
        <w:t xml:space="preserve">Forced transfers: platform can implement court-ordered or regulatory-required transfers — critical for compliance with judicial orders</w:t>
      </w:r>
    </w:p>
    <w:p>
      <w:pPr>
        <w:pStyle w:val="ListParagraph"/>
        <w:numPr>
          <w:ilvl w:val="0"/>
          <w:numId w:val="2"/>
        </w:numPr>
        <w:spacing w:after="40" w:before="40"/>
      </w:pPr>
      <w:r>
        <w:rPr>
          <w:rFonts w:ascii="Arial" w:cs="Arial" w:eastAsia="Arial" w:hAnsi="Arial"/>
          <w:color w:val="1A1A1A"/>
          <w:sz w:val="22"/>
          <w:szCs w:val="22"/>
        </w:rPr>
        <w:t xml:space="preserve">Token recovery: lost token recovery mechanism — protects homeowners from permanent loss due to wallet loss</w:t>
      </w:r>
    </w:p>
    <w:p>
      <w:pPr>
        <w:pStyle w:val="ListParagraph"/>
        <w:numPr>
          <w:ilvl w:val="0"/>
          <w:numId w:val="2"/>
        </w:numPr>
        <w:spacing w:after="40" w:before="40"/>
      </w:pPr>
      <w:r>
        <w:rPr>
          <w:rFonts w:ascii="Arial" w:cs="Arial" w:eastAsia="Arial" w:hAnsi="Arial"/>
          <w:color w:val="1A1A1A"/>
          <w:sz w:val="22"/>
          <w:szCs w:val="22"/>
        </w:rPr>
        <w:t xml:space="preserve">Issuance controls: platform retains ability to pause transfers in regulatory emergency — required for SEC compliance in certain scenarios</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6.3 AML / BSA Compliance Program</w:t>
      </w:r>
    </w:p>
    <w:p>
      <w:pPr>
        <w:spacing w:after="100" w:before="60"/>
      </w:pPr>
      <w:r>
        <w:rPr>
          <w:rFonts w:ascii="Arial" w:cs="Arial" w:eastAsia="Arial" w:hAnsi="Arial"/>
          <w:color w:val="1A1A1A"/>
          <w:sz w:val="22"/>
          <w:szCs w:val="22"/>
        </w:rPr>
        <w:t xml:space="preserve">HomeToken must implement a comprehensive Bank Secrecy Act / Anti-Money Laundering compliance program. Minimum requirements:</w:t>
      </w:r>
    </w:p>
    <w:p>
      <w:pPr>
        <w:pStyle w:val="ListParagraph"/>
        <w:numPr>
          <w:ilvl w:val="0"/>
          <w:numId w:val="2"/>
        </w:numPr>
        <w:spacing w:after="40" w:before="40"/>
      </w:pPr>
      <w:r>
        <w:rPr>
          <w:rFonts w:ascii="Arial" w:cs="Arial" w:eastAsia="Arial" w:hAnsi="Arial"/>
          <w:color w:val="1A1A1A"/>
          <w:sz w:val="22"/>
          <w:szCs w:val="22"/>
        </w:rPr>
        <w:t xml:space="preserve">Customer Identification Program (CIP): verify identity of all platform participants</w:t>
      </w:r>
    </w:p>
    <w:p>
      <w:pPr>
        <w:pStyle w:val="ListParagraph"/>
        <w:numPr>
          <w:ilvl w:val="0"/>
          <w:numId w:val="2"/>
        </w:numPr>
        <w:spacing w:after="40" w:before="40"/>
      </w:pPr>
      <w:r>
        <w:rPr>
          <w:rFonts w:ascii="Arial" w:cs="Arial" w:eastAsia="Arial" w:hAnsi="Arial"/>
          <w:color w:val="1A1A1A"/>
          <w:sz w:val="22"/>
          <w:szCs w:val="22"/>
        </w:rPr>
        <w:t xml:space="preserve">Customer Due Diligence (CDD): understand the nature of the customer's business and assess risk</w:t>
      </w:r>
    </w:p>
    <w:p>
      <w:pPr>
        <w:pStyle w:val="ListParagraph"/>
        <w:numPr>
          <w:ilvl w:val="0"/>
          <w:numId w:val="2"/>
        </w:numPr>
        <w:spacing w:after="40" w:before="40"/>
      </w:pPr>
      <w:r>
        <w:rPr>
          <w:rFonts w:ascii="Arial" w:cs="Arial" w:eastAsia="Arial" w:hAnsi="Arial"/>
          <w:color w:val="1A1A1A"/>
          <w:sz w:val="22"/>
          <w:szCs w:val="22"/>
        </w:rPr>
        <w:t xml:space="preserve">Suspicious Activity Reporting (SAR): file SARs with FinCEN for suspicious activity above $5,000</w:t>
      </w:r>
    </w:p>
    <w:p>
      <w:pPr>
        <w:pStyle w:val="ListParagraph"/>
        <w:numPr>
          <w:ilvl w:val="0"/>
          <w:numId w:val="2"/>
        </w:numPr>
        <w:spacing w:after="40" w:before="40"/>
      </w:pPr>
      <w:r>
        <w:rPr>
          <w:rFonts w:ascii="Arial" w:cs="Arial" w:eastAsia="Arial" w:hAnsi="Arial"/>
          <w:color w:val="1A1A1A"/>
          <w:sz w:val="22"/>
          <w:szCs w:val="22"/>
        </w:rPr>
        <w:t xml:space="preserve">OFAC screening: screen all participants against Office of Foreign Assets Control sanctions lists</w:t>
      </w:r>
    </w:p>
    <w:p>
      <w:pPr>
        <w:pStyle w:val="ListParagraph"/>
        <w:numPr>
          <w:ilvl w:val="0"/>
          <w:numId w:val="2"/>
        </w:numPr>
        <w:spacing w:after="40" w:before="40"/>
      </w:pPr>
      <w:r>
        <w:rPr>
          <w:rFonts w:ascii="Arial" w:cs="Arial" w:eastAsia="Arial" w:hAnsi="Arial"/>
          <w:color w:val="1A1A1A"/>
          <w:sz w:val="22"/>
          <w:szCs w:val="22"/>
        </w:rPr>
        <w:t xml:space="preserve">Ongoing monitoring: transaction monitoring for unusual patterns</w:t>
      </w:r>
    </w:p>
    <w:p>
      <w:pPr>
        <w:spacing w:after="120" w:before="0"/>
      </w:pPr>
      <w:r>
        <w:t xml:space="preserve"/>
      </w:r>
    </w:p>
    <w:tbl>
      <w:tblPr>
        <w:tblW w:type="dxa" w:w="9360"/>
        <w:tblBorders>
          <w:top w:val="single" w:color="C9A84C" w:sz="1"/>
          <w:left w:val="single" w:color="C9A84C" w:sz="20"/>
          <w:bottom w:val="single" w:color="C9A84C" w:sz="1"/>
          <w:right w:val="single" w:color="C9A84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80"/>
              <w:left w:type="dxa" w:w="240"/>
              <w:bottom w:type="dxa" w:w="180"/>
              <w:right w:type="dxa" w:w="240"/>
            </w:tcMar>
          </w:tcPr>
          <w:p>
            <w:pPr>
              <w:spacing w:after="60" w:before="0"/>
            </w:pPr>
            <w:r>
              <w:rPr>
                <w:rFonts w:ascii="Arial" w:cs="Arial" w:eastAsia="Arial" w:hAnsi="Arial"/>
                <w:b/>
                <w:bCs/>
                <w:color w:val="C9A84C"/>
                <w:sz w:val="20"/>
                <w:szCs w:val="20"/>
              </w:rPr>
              <w:t xml:space="preserve">Vendor Recommendation</w:t>
            </w:r>
          </w:p>
          <w:p>
            <w:pPr>
              <w:spacing w:after="0" w:before="0"/>
            </w:pPr>
            <w:r>
              <w:rPr>
                <w:rFonts w:ascii="Arial" w:cs="Arial" w:eastAsia="Arial" w:hAnsi="Arial"/>
                <w:color w:val="1A1A1A"/>
                <w:sz w:val="21"/>
                <w:szCs w:val="21"/>
              </w:rPr>
              <w:t xml:space="preserve">Engage a specialized AML compliance vendor (Chainalysis, Elliptic, or equivalent) for blockchain transaction monitoring in addition to standard KYC infrastructure. Real estate has historically been a high-risk sector for money laundering; regulators will scrutinize the platform's AML program carefully.</w:t>
            </w:r>
          </w:p>
        </w:tc>
      </w:tr>
    </w:tbl>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7. Consolidated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3000"/>
        <w:gridCol w:w="1000"/>
      </w:tblGrid>
      <w:tr>
        <w:tc>
          <w:tcPr>
            <w:tcW w:type="dxa" w:w="20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Area</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c>
          <w:tcPr>
            <w:tcW w:type="dxa" w:w="10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Level</w:t>
            </w:r>
          </w:p>
        </w:tc>
      </w:tr>
      <w:tr>
        <w:tc>
          <w:tcPr>
            <w:tcW w:type="dxa" w:w="2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Securities (SEC)</w:t>
            </w:r>
          </w:p>
        </w:tc>
        <w:tc>
          <w:tcPr>
            <w:tcW w:type="dxa" w:w="336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Tokens classified as unregistered securities</w:t>
            </w:r>
          </w:p>
        </w:tc>
        <w:tc>
          <w:tcPr>
            <w:tcW w:type="dxa" w:w="3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Launch under Reg D 506(c); treat all instruments as securities from day one</w:t>
            </w:r>
          </w:p>
        </w:tc>
        <w:tc>
          <w:tcPr>
            <w:tcW w:type="dxa" w:w="1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bCs/>
                <w:color w:val="B22222"/>
                <w:sz w:val="20"/>
                <w:szCs w:val="20"/>
              </w:rPr>
              <w:t xml:space="preserve">HIGH</w:t>
            </w:r>
          </w:p>
        </w:tc>
      </w:tr>
      <w:tr>
        <w:tc>
          <w:tcPr>
            <w:tcW w:type="dxa" w:w="2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Broker-Dealer</w:t>
            </w:r>
          </w:p>
        </w:tc>
        <w:tc>
          <w:tcPr>
            <w:tcW w:type="dxa" w:w="336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Marketplace triggers BD registration requirement</w:t>
            </w:r>
          </w:p>
        </w:tc>
        <w:tc>
          <w:tcPr>
            <w:tcW w:type="dxa" w:w="3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Partner with registered BD; explore ATS registration pathway</w:t>
            </w:r>
          </w:p>
        </w:tc>
        <w:tc>
          <w:tcPr>
            <w:tcW w:type="dxa" w:w="1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bCs/>
                <w:color w:val="B22222"/>
                <w:sz w:val="20"/>
                <w:szCs w:val="20"/>
              </w:rPr>
              <w:t xml:space="preserve">HIGH</w:t>
            </w:r>
          </w:p>
        </w:tc>
      </w:tr>
      <w:tr>
        <w:tc>
          <w:tcPr>
            <w:tcW w:type="dxa" w:w="2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Adviser (IA)</w:t>
            </w:r>
          </w:p>
        </w:tc>
        <w:tc>
          <w:tcPr>
            <w:tcW w:type="dxa" w:w="336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Fund management requires IA registration</w:t>
            </w:r>
          </w:p>
        </w:tc>
        <w:tc>
          <w:tcPr>
            <w:tcW w:type="dxa" w:w="3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Register as IA; complete Form ADV before accepting fund capital</w:t>
            </w:r>
          </w:p>
        </w:tc>
        <w:tc>
          <w:tcPr>
            <w:tcW w:type="dxa" w:w="1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bCs/>
                <w:color w:val="B22222"/>
                <w:sz w:val="20"/>
                <w:szCs w:val="20"/>
              </w:rPr>
              <w:t xml:space="preserve">HIGH</w:t>
            </w:r>
          </w:p>
        </w:tc>
      </w:tr>
      <w:tr>
        <w:tc>
          <w:tcPr>
            <w:tcW w:type="dxa" w:w="2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CFPB / Consumer</w:t>
            </w:r>
          </w:p>
        </w:tc>
        <w:tc>
          <w:tcPr>
            <w:tcW w:type="dxa" w:w="336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Reverse mortgage framing attracts CFPB scrutiny</w:t>
            </w:r>
          </w:p>
        </w:tc>
        <w:tc>
          <w:tcPr>
            <w:tcW w:type="dxa" w:w="3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Proactive CFPB engagement; no-action letter; senior protection protocols</w:t>
            </w:r>
          </w:p>
        </w:tc>
        <w:tc>
          <w:tcPr>
            <w:tcW w:type="dxa" w:w="1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bCs/>
                <w:color w:val="B22222"/>
                <w:sz w:val="20"/>
                <w:szCs w:val="20"/>
              </w:rPr>
              <w:t xml:space="preserve">HIGH</w:t>
            </w:r>
          </w:p>
        </w:tc>
      </w:tr>
      <w:tr>
        <w:tc>
          <w:tcPr>
            <w:tcW w:type="dxa" w:w="2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Wyoming Real Estate</w:t>
            </w:r>
          </w:p>
        </w:tc>
        <w:tc>
          <w:tcPr>
            <w:tcW w:type="dxa" w:w="336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Token structure triggers due-on-sale clause</w:t>
            </w:r>
          </w:p>
        </w:tc>
        <w:tc>
          <w:tcPr>
            <w:tcW w:type="dxa" w:w="3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Obtain lender consent; structure tokens as synthetic not recorded interest</w:t>
            </w:r>
          </w:p>
        </w:tc>
        <w:tc>
          <w:tcPr>
            <w:tcW w:type="dxa" w:w="1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bCs/>
                <w:color w:val="8B6914"/>
                <w:sz w:val="20"/>
                <w:szCs w:val="20"/>
              </w:rPr>
              <w:t xml:space="preserve">MEDIUM</w:t>
            </w:r>
          </w:p>
        </w:tc>
      </w:tr>
      <w:tr>
        <w:tc>
          <w:tcPr>
            <w:tcW w:type="dxa" w:w="2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Texas / FL Homestead</w:t>
            </w:r>
          </w:p>
        </w:tc>
        <w:tc>
          <w:tcPr>
            <w:tcW w:type="dxa" w:w="336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Homestead protections block token structure</w:t>
            </w:r>
          </w:p>
        </w:tc>
        <w:tc>
          <w:tcPr>
            <w:tcW w:type="dxa" w:w="3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State-specific counsel; delay expansion to these states</w:t>
            </w:r>
          </w:p>
        </w:tc>
        <w:tc>
          <w:tcPr>
            <w:tcW w:type="dxa" w:w="1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bCs/>
                <w:color w:val="8B6914"/>
                <w:sz w:val="20"/>
                <w:szCs w:val="20"/>
              </w:rPr>
              <w:t xml:space="preserve">MEDIUM</w:t>
            </w:r>
          </w:p>
        </w:tc>
      </w:tr>
      <w:tr>
        <w:tc>
          <w:tcPr>
            <w:tcW w:type="dxa" w:w="2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AML / BSA</w:t>
            </w:r>
          </w:p>
        </w:tc>
        <w:tc>
          <w:tcPr>
            <w:tcW w:type="dxa" w:w="336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Platform used for money laundering</w:t>
            </w:r>
          </w:p>
        </w:tc>
        <w:tc>
          <w:tcPr>
            <w:tcW w:type="dxa" w:w="3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Comprehensive BSA/AML program; blockchain analytics vendor</w:t>
            </w:r>
          </w:p>
        </w:tc>
        <w:tc>
          <w:tcPr>
            <w:tcW w:type="dxa" w:w="1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bCs/>
                <w:color w:val="8B6914"/>
                <w:sz w:val="20"/>
                <w:szCs w:val="20"/>
              </w:rPr>
              <w:t xml:space="preserve">MEDIUM</w:t>
            </w:r>
          </w:p>
        </w:tc>
      </w:tr>
      <w:tr>
        <w:tc>
          <w:tcPr>
            <w:tcW w:type="dxa" w:w="2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Valuation (AVM)</w:t>
            </w:r>
          </w:p>
        </w:tc>
        <w:tc>
          <w:tcPr>
            <w:tcW w:type="dxa" w:w="336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Stale or inaccurate valuations cause disputes</w:t>
            </w:r>
          </w:p>
        </w:tc>
        <w:tc>
          <w:tcPr>
            <w:tcW w:type="dxa" w:w="3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Multi-source AVM; dispute resolution mechanism; annual refresh</w:t>
            </w:r>
          </w:p>
        </w:tc>
        <w:tc>
          <w:tcPr>
            <w:tcW w:type="dxa" w:w="1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bCs/>
                <w:color w:val="8B6914"/>
                <w:sz w:val="20"/>
                <w:szCs w:val="20"/>
              </w:rPr>
              <w:t xml:space="preserve">MEDIUM</w:t>
            </w:r>
          </w:p>
        </w:tc>
      </w:tr>
      <w:tr>
        <w:tc>
          <w:tcPr>
            <w:tcW w:type="dxa" w:w="2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CFTC</w:t>
            </w:r>
          </w:p>
        </w:tc>
        <w:tc>
          <w:tcPr>
            <w:tcW w:type="dxa" w:w="336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Token instruments characterized as derivatives</w:t>
            </w:r>
          </w:p>
        </w:tc>
        <w:tc>
          <w:tcPr>
            <w:tcW w:type="dxa" w:w="3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Structure as equity instruments; avoid derivative-like features</w:t>
            </w:r>
          </w:p>
        </w:tc>
        <w:tc>
          <w:tcPr>
            <w:tcW w:type="dxa" w:w="1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bCs/>
                <w:color w:val="2E6B3E"/>
                <w:sz w:val="20"/>
                <w:szCs w:val="20"/>
              </w:rPr>
              <w:t xml:space="preserve">LOW</w:t>
            </w:r>
          </w:p>
        </w:tc>
      </w:tr>
      <w:tr>
        <w:tc>
          <w:tcPr>
            <w:tcW w:type="dxa" w:w="2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RESPA</w:t>
            </w:r>
          </w:p>
        </w:tc>
        <w:tc>
          <w:tcPr>
            <w:tcW w:type="dxa" w:w="336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Marketplace fees characterized as RESPA violations</w:t>
            </w:r>
          </w:p>
        </w:tc>
        <w:tc>
          <w:tcPr>
            <w:tcW w:type="dxa" w:w="3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RESPA counsel review of fee structure; clear disclosures</w:t>
            </w:r>
          </w:p>
        </w:tc>
        <w:tc>
          <w:tcPr>
            <w:tcW w:type="dxa" w:w="100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bCs/>
                <w:color w:val="2E6B3E"/>
                <w:sz w:val="20"/>
                <w:szCs w:val="20"/>
              </w:rPr>
              <w:t xml:space="preserve">LOW</w:t>
            </w:r>
          </w:p>
        </w:tc>
      </w:tr>
    </w:tbl>
    <w:p>
      <w:pPr>
        <w:spacing w:after="120" w:before="0"/>
      </w:pPr>
      <w:r>
        <w:t xml:space="preserve"/>
      </w:r>
    </w:p>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8. Phased Compliance Roadmap</w:t>
      </w:r>
    </w:p>
    <w:p>
      <w:pPr>
        <w:pStyle w:val="Heading2"/>
        <w:spacing w:after="80" w:before="280"/>
      </w:pPr>
      <w:r>
        <w:rPr>
          <w:rFonts w:ascii="Arial" w:cs="Arial" w:eastAsia="Arial" w:hAnsi="Arial"/>
          <w:b/>
          <w:bCs/>
          <w:color w:val="4A6FA5"/>
          <w:sz w:val="26"/>
          <w:szCs w:val="26"/>
        </w:rPr>
        <w:t xml:space="preserve">Phase 1: Wyoming Launch (Months 0–12)</w:t>
      </w:r>
    </w:p>
    <w:p>
      <w:pPr>
        <w:pStyle w:val="ListParagraph"/>
        <w:numPr>
          <w:ilvl w:val="0"/>
          <w:numId w:val="2"/>
        </w:numPr>
        <w:spacing w:after="40" w:before="40"/>
      </w:pPr>
      <w:r>
        <w:rPr>
          <w:rFonts w:ascii="Arial" w:cs="Arial" w:eastAsia="Arial" w:hAnsi="Arial"/>
          <w:color w:val="1A1A1A"/>
          <w:sz w:val="22"/>
          <w:szCs w:val="22"/>
        </w:rPr>
        <w:t xml:space="preserve">Engage securities counsel: Reg D 506(c) offering documents; investor verification infrastructure</w:t>
      </w:r>
    </w:p>
    <w:p>
      <w:pPr>
        <w:pStyle w:val="ListParagraph"/>
        <w:numPr>
          <w:ilvl w:val="0"/>
          <w:numId w:val="2"/>
        </w:numPr>
        <w:spacing w:after="40" w:before="40"/>
      </w:pPr>
      <w:r>
        <w:rPr>
          <w:rFonts w:ascii="Arial" w:cs="Arial" w:eastAsia="Arial" w:hAnsi="Arial"/>
          <w:color w:val="1A1A1A"/>
          <w:sz w:val="22"/>
          <w:szCs w:val="22"/>
        </w:rPr>
        <w:t xml:space="preserve">Wyoming entity formation: LLC or Corp; evaluate SPDI charter applicability</w:t>
      </w:r>
    </w:p>
    <w:p>
      <w:pPr>
        <w:pStyle w:val="ListParagraph"/>
        <w:numPr>
          <w:ilvl w:val="0"/>
          <w:numId w:val="2"/>
        </w:numPr>
        <w:spacing w:after="40" w:before="40"/>
      </w:pPr>
      <w:r>
        <w:rPr>
          <w:rFonts w:ascii="Arial" w:cs="Arial" w:eastAsia="Arial" w:hAnsi="Arial"/>
          <w:color w:val="1A1A1A"/>
          <w:sz w:val="22"/>
          <w:szCs w:val="22"/>
        </w:rPr>
        <w:t xml:space="preserve">Investment Adviser registration: Wyoming state IA registration (below federal threshold initially); federal IA registration as AUM grows</w:t>
      </w:r>
    </w:p>
    <w:p>
      <w:pPr>
        <w:pStyle w:val="ListParagraph"/>
        <w:numPr>
          <w:ilvl w:val="0"/>
          <w:numId w:val="2"/>
        </w:numPr>
        <w:spacing w:after="40" w:before="40"/>
      </w:pPr>
      <w:r>
        <w:rPr>
          <w:rFonts w:ascii="Arial" w:cs="Arial" w:eastAsia="Arial" w:hAnsi="Arial"/>
          <w:color w:val="1A1A1A"/>
          <w:sz w:val="22"/>
          <w:szCs w:val="22"/>
        </w:rPr>
        <w:t xml:space="preserve">BSA/AML program: implement full CIP/CDD/SAR/OFAC program before first customer</w:t>
      </w:r>
    </w:p>
    <w:p>
      <w:pPr>
        <w:pStyle w:val="ListParagraph"/>
        <w:numPr>
          <w:ilvl w:val="0"/>
          <w:numId w:val="2"/>
        </w:numPr>
        <w:spacing w:after="40" w:before="40"/>
      </w:pPr>
      <w:r>
        <w:rPr>
          <w:rFonts w:ascii="Arial" w:cs="Arial" w:eastAsia="Arial" w:hAnsi="Arial"/>
          <w:color w:val="1A1A1A"/>
          <w:sz w:val="22"/>
          <w:szCs w:val="22"/>
        </w:rPr>
        <w:t xml:space="preserve">Title counsel: Wyoming-specific analysis of due-on-sale risk; title insurance endorsement development</w:t>
      </w:r>
    </w:p>
    <w:p>
      <w:pPr>
        <w:pStyle w:val="ListParagraph"/>
        <w:numPr>
          <w:ilvl w:val="0"/>
          <w:numId w:val="2"/>
        </w:numPr>
        <w:spacing w:after="40" w:before="40"/>
      </w:pPr>
      <w:r>
        <w:rPr>
          <w:rFonts w:ascii="Arial" w:cs="Arial" w:eastAsia="Arial" w:hAnsi="Arial"/>
          <w:color w:val="1A1A1A"/>
          <w:sz w:val="22"/>
          <w:szCs w:val="22"/>
        </w:rPr>
        <w:t xml:space="preserve">CFPB pre-engagement: informal outreach to CFPB Office of Innovation before marketing reverse mortgage alternative</w:t>
      </w:r>
    </w:p>
    <w:p>
      <w:pPr>
        <w:pStyle w:val="ListParagraph"/>
        <w:numPr>
          <w:ilvl w:val="0"/>
          <w:numId w:val="2"/>
        </w:numPr>
        <w:spacing w:after="40" w:before="40"/>
      </w:pPr>
      <w:r>
        <w:rPr>
          <w:rFonts w:ascii="Arial" w:cs="Arial" w:eastAsia="Arial" w:hAnsi="Arial"/>
          <w:color w:val="1A1A1A"/>
          <w:sz w:val="22"/>
          <w:szCs w:val="22"/>
        </w:rPr>
        <w:t xml:space="preserve">Broker-dealer partner: identify and contract with FINRA member to operate marketplace under existing license</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Phase 2: Multi-State Expansion (Months 12–36)</w:t>
      </w:r>
    </w:p>
    <w:p>
      <w:pPr>
        <w:pStyle w:val="ListParagraph"/>
        <w:numPr>
          <w:ilvl w:val="0"/>
          <w:numId w:val="2"/>
        </w:numPr>
        <w:spacing w:after="40" w:before="40"/>
      </w:pPr>
      <w:r>
        <w:rPr>
          <w:rFonts w:ascii="Arial" w:cs="Arial" w:eastAsia="Arial" w:hAnsi="Arial"/>
          <w:color w:val="1A1A1A"/>
          <w:sz w:val="22"/>
          <w:szCs w:val="22"/>
        </w:rPr>
        <w:t xml:space="preserve">Reg A+ qualification: begin SEC qualification process for Tier 2 offering (3–6 months)</w:t>
      </w:r>
    </w:p>
    <w:p>
      <w:pPr>
        <w:pStyle w:val="ListParagraph"/>
        <w:numPr>
          <w:ilvl w:val="0"/>
          <w:numId w:val="2"/>
        </w:numPr>
        <w:spacing w:after="40" w:before="40"/>
      </w:pPr>
      <w:r>
        <w:rPr>
          <w:rFonts w:ascii="Arial" w:cs="Arial" w:eastAsia="Arial" w:hAnsi="Arial"/>
          <w:color w:val="1A1A1A"/>
          <w:sz w:val="22"/>
          <w:szCs w:val="22"/>
        </w:rPr>
        <w:t xml:space="preserve">Nevada counsel: Nevada-specific real estate and securities analysis</w:t>
      </w:r>
    </w:p>
    <w:p>
      <w:pPr>
        <w:pStyle w:val="ListParagraph"/>
        <w:numPr>
          <w:ilvl w:val="0"/>
          <w:numId w:val="2"/>
        </w:numPr>
        <w:spacing w:after="40" w:before="40"/>
      </w:pPr>
      <w:r>
        <w:rPr>
          <w:rFonts w:ascii="Arial" w:cs="Arial" w:eastAsia="Arial" w:hAnsi="Arial"/>
          <w:color w:val="1A1A1A"/>
          <w:sz w:val="22"/>
          <w:szCs w:val="22"/>
        </w:rPr>
        <w:t xml:space="preserve">Texas homestead counsel: Texas constitutional analysis before expansion</w:t>
      </w:r>
    </w:p>
    <w:p>
      <w:pPr>
        <w:pStyle w:val="ListParagraph"/>
        <w:numPr>
          <w:ilvl w:val="0"/>
          <w:numId w:val="2"/>
        </w:numPr>
        <w:spacing w:after="40" w:before="40"/>
      </w:pPr>
      <w:r>
        <w:rPr>
          <w:rFonts w:ascii="Arial" w:cs="Arial" w:eastAsia="Arial" w:hAnsi="Arial"/>
          <w:color w:val="1A1A1A"/>
          <w:sz w:val="22"/>
          <w:szCs w:val="22"/>
        </w:rPr>
        <w:t xml:space="preserve">Federal IA registration: as AUM crosses $110M threshold</w:t>
      </w:r>
    </w:p>
    <w:p>
      <w:pPr>
        <w:pStyle w:val="ListParagraph"/>
        <w:numPr>
          <w:ilvl w:val="0"/>
          <w:numId w:val="2"/>
        </w:numPr>
        <w:spacing w:after="40" w:before="40"/>
      </w:pPr>
      <w:r>
        <w:rPr>
          <w:rFonts w:ascii="Arial" w:cs="Arial" w:eastAsia="Arial" w:hAnsi="Arial"/>
          <w:color w:val="1A1A1A"/>
          <w:sz w:val="22"/>
          <w:szCs w:val="22"/>
        </w:rPr>
        <w:t xml:space="preserve">ATS registration: if Reg A+ offering and marketplace scale warrants</w:t>
      </w:r>
    </w:p>
    <w:p>
      <w:pPr>
        <w:pStyle w:val="ListParagraph"/>
        <w:numPr>
          <w:ilvl w:val="0"/>
          <w:numId w:val="2"/>
        </w:numPr>
        <w:spacing w:after="40" w:before="40"/>
      </w:pPr>
      <w:r>
        <w:rPr>
          <w:rFonts w:ascii="Arial" w:cs="Arial" w:eastAsia="Arial" w:hAnsi="Arial"/>
          <w:color w:val="1A1A1A"/>
          <w:sz w:val="22"/>
          <w:szCs w:val="22"/>
        </w:rPr>
        <w:t xml:space="preserve">CFPB no-action letter: formal request for reverse mortgage alternative use case</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Phase 3: National Platform (Months 36+)</w:t>
      </w:r>
    </w:p>
    <w:p>
      <w:pPr>
        <w:pStyle w:val="ListParagraph"/>
        <w:numPr>
          <w:ilvl w:val="0"/>
          <w:numId w:val="2"/>
        </w:numPr>
        <w:spacing w:after="40" w:before="40"/>
      </w:pPr>
      <w:r>
        <w:rPr>
          <w:rFonts w:ascii="Arial" w:cs="Arial" w:eastAsia="Arial" w:hAnsi="Arial"/>
          <w:color w:val="1A1A1A"/>
          <w:sz w:val="22"/>
          <w:szCs w:val="22"/>
        </w:rPr>
        <w:t xml:space="preserve">Full SEC registration or Reg A+ renewal: for unrestricted national offering</w:t>
      </w:r>
    </w:p>
    <w:p>
      <w:pPr>
        <w:pStyle w:val="ListParagraph"/>
        <w:numPr>
          <w:ilvl w:val="0"/>
          <w:numId w:val="2"/>
        </w:numPr>
        <w:spacing w:after="40" w:before="40"/>
      </w:pPr>
      <w:r>
        <w:rPr>
          <w:rFonts w:ascii="Arial" w:cs="Arial" w:eastAsia="Arial" w:hAnsi="Arial"/>
          <w:color w:val="1A1A1A"/>
          <w:sz w:val="22"/>
          <w:szCs w:val="22"/>
        </w:rPr>
        <w:t xml:space="preserve">State Blue Sky compliance: Reg A+ Tier 2 preempts most state law; residual state registration as needed</w:t>
      </w:r>
    </w:p>
    <w:p>
      <w:pPr>
        <w:pStyle w:val="ListParagraph"/>
        <w:numPr>
          <w:ilvl w:val="0"/>
          <w:numId w:val="2"/>
        </w:numPr>
        <w:spacing w:after="40" w:before="40"/>
      </w:pPr>
      <w:r>
        <w:rPr>
          <w:rFonts w:ascii="Arial" w:cs="Arial" w:eastAsia="Arial" w:hAnsi="Arial"/>
          <w:color w:val="1A1A1A"/>
          <w:sz w:val="22"/>
          <w:szCs w:val="22"/>
        </w:rPr>
        <w:t xml:space="preserve">FINRA membership: evaluate direct FINRA membership vs. continued BD partnership</w:t>
      </w:r>
    </w:p>
    <w:p>
      <w:pPr>
        <w:pStyle w:val="ListParagraph"/>
        <w:numPr>
          <w:ilvl w:val="0"/>
          <w:numId w:val="2"/>
        </w:numPr>
        <w:spacing w:after="40" w:before="40"/>
      </w:pPr>
      <w:r>
        <w:rPr>
          <w:rFonts w:ascii="Arial" w:cs="Arial" w:eastAsia="Arial" w:hAnsi="Arial"/>
          <w:color w:val="1A1A1A"/>
          <w:sz w:val="22"/>
          <w:szCs w:val="22"/>
        </w:rPr>
        <w:t xml:space="preserve">Congressional engagement: monitor digital asset legislation and participate in comment processes</w:t>
      </w:r>
    </w:p>
    <w:p>
      <w:pPr>
        <w:pStyle w:val="ListParagraph"/>
        <w:numPr>
          <w:ilvl w:val="0"/>
          <w:numId w:val="2"/>
        </w:numPr>
        <w:spacing w:after="40" w:before="40"/>
      </w:pPr>
      <w:r>
        <w:rPr>
          <w:rFonts w:ascii="Arial" w:cs="Arial" w:eastAsia="Arial" w:hAnsi="Arial"/>
          <w:color w:val="1A1A1A"/>
          <w:sz w:val="22"/>
          <w:szCs w:val="22"/>
        </w:rPr>
        <w:t xml:space="preserve">International expansion counsel: engage counsel in target international jurisdictions</w:t>
      </w:r>
    </w:p>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9. Recommended Legal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Specialty</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When Needed</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Securities / FinTech Counsel</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Reg D offering docs; IA registration; BD analysis; token structure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Immediately — before any offering</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Wyoming Real Estate Counsel</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Title analysis; due-on-sale; lender consent framework</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Immediately — before onboarding any homeowner</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BSA/AML Compliance Officer</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Program design; ongoing BSA compliance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Before first customer</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Consumer Financial Counsel</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CFPB engagement; RESPA analysis; senior protection protocols</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Before marketing reverse mortgage alternative</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Tax Counsel</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Token transaction tax treatment; fund tax structure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Before first token sale</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Multi-State Real Estate Counsel</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State-specific homestead and real estate analysis</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As each state added in Phase 2</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International Counsel</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GCC / Southeast Asia expansion</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Phase 4</w:t>
            </w:r>
          </w:p>
        </w:tc>
      </w:tr>
    </w:tbl>
    <w:p>
      <w:pPr>
        <w:spacing w:after="120" w:before="0"/>
      </w:pPr>
      <w:r>
        <w:t xml:space="preserve"/>
      </w:r>
    </w:p>
    <w:p>
      <w:pPr>
        <w:pBdr>
          <w:bottom w:val="single" w:color="D0D7E2" w:sz="4" w:space="1"/>
        </w:pBdr>
        <w:spacing w:after="160" w:before="160"/>
      </w:pPr>
      <w:r>
        <w:t xml:space="preserve"/>
      </w:r>
    </w:p>
    <w:p>
      <w:pPr>
        <w:spacing w:after="80" w:before="480"/>
        <w:jc w:val="center"/>
      </w:pPr>
      <w:r>
        <w:rPr>
          <w:rFonts w:ascii="Arial" w:cs="Arial" w:eastAsia="Arial" w:hAnsi="Arial"/>
          <w:b/>
          <w:bCs/>
          <w:color w:val="1B2A4A"/>
          <w:sz w:val="28"/>
          <w:szCs w:val="28"/>
        </w:rPr>
        <w:t xml:space="preserve">HOMETOKEN</w:t>
      </w:r>
    </w:p>
    <w:p>
      <w:pPr>
        <w:spacing w:after="80" w:before="0"/>
        <w:jc w:val="center"/>
      </w:pPr>
      <w:r>
        <w:rPr>
          <w:rFonts w:ascii="Arial" w:cs="Arial" w:eastAsia="Arial" w:hAnsi="Arial"/>
          <w:i/>
          <w:iCs/>
          <w:color w:val="555F6E"/>
          <w:sz w:val="20"/>
          <w:szCs w:val="20"/>
        </w:rPr>
        <w:t xml:space="preserve">Regulatory Landscape Overview</w:t>
      </w:r>
    </w:p>
    <w:p>
      <w:pPr>
        <w:spacing w:after="80" w:before="0"/>
        <w:jc w:val="center"/>
      </w:pPr>
      <w:r>
        <w:rPr>
          <w:rFonts w:ascii="Arial" w:cs="Arial" w:eastAsia="Arial" w:hAnsi="Arial"/>
          <w:color w:val="B22222"/>
          <w:sz w:val="16"/>
          <w:szCs w:val="16"/>
        </w:rPr>
        <w:t xml:space="preserve">This document does not constitute legal advice and must be reviewed by qualified counsel before any product launch or offering.</w:t>
      </w:r>
    </w:p>
    <w:p>
      <w:pPr>
        <w:spacing w:after="0" w:before="0"/>
        <w:jc w:val="center"/>
      </w:pPr>
      <w:r>
        <w:rPr>
          <w:rFonts w:ascii="Arial" w:cs="Arial" w:eastAsia="Arial" w:hAnsi="Arial"/>
          <w:color w:val="555F6E"/>
          <w:sz w:val="16"/>
          <w:szCs w:val="16"/>
        </w:rPr>
        <w:t xml:space="preserve">Confidential — For Discussion Purposes Only</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55F6E"/>
        <w:sz w:val="16"/>
        <w:szCs w:val="16"/>
      </w:rPr>
      <w:t xml:space="preserve">HomeToken — Regulatory Landscape Overview    </w:t>
    </w:r>
    <w:r>
      <w:rPr>
        <w:rFonts w:ascii="Arial" w:cs="Arial" w:eastAsia="Arial" w:hAnsi="Arial"/>
        <w:color w:val="555F6E"/>
        <w:sz w:val="16"/>
        <w:szCs w:val="16"/>
      </w:rPr>
      <w:ptab w:alignment="right" w:relativeTo="margin" w:leader="none"/>
    </w:r>
    <w:r>
      <w:rPr>
        <w:rFonts w:ascii="Arial" w:cs="Arial" w:eastAsia="Arial" w:hAnsi="Arial"/>
        <w:color w:val="555F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4A6FA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2026-04-25T16:28:22.966Z</dcterms:created>
  <dcterms:modified xsi:type="dcterms:W3CDTF">2026-04-25T16:28:22.967Z</dcterms:modified>
</cp:coreProperties>
</file>

<file path=docProps/custom.xml><?xml version="1.0" encoding="utf-8"?>
<Properties xmlns="http://schemas.openxmlformats.org/officeDocument/2006/custom-properties" xmlns:vt="http://schemas.openxmlformats.org/officeDocument/2006/docPropsVTypes"/>
</file>