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before="0"/>
      </w:pPr>
      <w:r>
        <w:t xml:space="preserve"/>
      </w:r>
    </w:p>
    <w:p>
      <w:pPr>
        <w:spacing w:after="120" w:before="0"/>
        <w:jc w:val="center"/>
      </w:pPr>
      <w:r>
        <w:rPr>
          <w:rFonts w:ascii="Arial" w:cs="Arial" w:eastAsia="Arial" w:hAnsi="Arial"/>
          <w:b/>
          <w:bCs/>
          <w:color w:val="1B2A4A"/>
          <w:sz w:val="72"/>
          <w:szCs w:val="72"/>
        </w:rPr>
        <w:t xml:space="preserve">HOMETOKEN</w:t>
      </w:r>
    </w:p>
    <w:p>
      <w:pPr>
        <w:pBdr>
          <w:bottom w:val="single" w:color="C9A84C" w:sz="12" w:space="12"/>
        </w:pBdr>
        <w:spacing w:after="480" w:before="0"/>
        <w:jc w:val="center"/>
      </w:pPr>
      <w:r>
        <w:rPr>
          <w:rFonts w:ascii="Arial" w:cs="Arial" w:eastAsia="Arial" w:hAnsi="Arial"/>
          <w:i/>
          <w:iCs/>
          <w:color w:val="4A6FA5"/>
          <w:sz w:val="32"/>
          <w:szCs w:val="32"/>
        </w:rPr>
        <w:t xml:space="preserve">Homeowner-Controlled Equity Tokenization Platform</w:t>
      </w:r>
    </w:p>
    <w:p>
      <w:pPr>
        <w:spacing w:after="240" w:before="0"/>
      </w:pPr>
      <w:r>
        <w:t xml:space="preserve"/>
      </w:r>
    </w:p>
    <w:p>
      <w:pPr>
        <w:spacing w:after="80" w:before="0"/>
        <w:jc w:val="center"/>
      </w:pPr>
      <w:r>
        <w:rPr>
          <w:rFonts w:ascii="Arial" w:cs="Arial" w:eastAsia="Arial" w:hAnsi="Arial"/>
          <w:b/>
          <w:bCs/>
          <w:caps/>
          <w:color w:val="C9A84C"/>
          <w:sz w:val="28"/>
          <w:szCs w:val="28"/>
        </w:rPr>
        <w:t xml:space="preserve">WHITE PAPER</w:t>
      </w:r>
    </w:p>
    <w:p>
      <w:pPr>
        <w:spacing w:after="480" w:before="0"/>
        <w:jc w:val="center"/>
      </w:pPr>
      <w:r>
        <w:rPr>
          <w:rFonts w:ascii="Arial" w:cs="Arial" w:eastAsia="Arial" w:hAnsi="Arial"/>
          <w:color w:val="555F6E"/>
          <w:sz w:val="24"/>
          <w:szCs w:val="24"/>
        </w:rPr>
        <w:t xml:space="preserve">Framework &amp; Business Architecture</w:t>
      </w:r>
    </w:p>
    <w:p>
      <w:pPr>
        <w:spacing w:after="720" w:before="0"/>
      </w:pPr>
      <w:r>
        <w:t xml:space="preserve"/>
      </w:r>
    </w:p>
    <w:p>
      <w:pPr>
        <w:spacing w:after="80" w:before="0"/>
        <w:jc w:val="center"/>
      </w:pPr>
      <w:r>
        <w:rPr>
          <w:rFonts w:ascii="Arial" w:cs="Arial" w:eastAsia="Arial" w:hAnsi="Arial"/>
          <w:caps/>
          <w:color w:val="555F6E"/>
          <w:sz w:val="18"/>
          <w:szCs w:val="18"/>
        </w:rPr>
        <w:t xml:space="preserve">CONFIDENTIAL — FOR DISCUSSION PURPOSES ONLY</w:t>
      </w:r>
    </w:p>
    <w:p>
      <w:pPr>
        <w:spacing w:after="0" w:before="0"/>
        <w:jc w:val="center"/>
      </w:pPr>
      <w:r>
        <w:rPr>
          <w:rFonts w:ascii="Arial" w:cs="Arial" w:eastAsia="Arial" w:hAnsi="Arial"/>
          <w:color w:val="555F6E"/>
          <w:sz w:val="20"/>
          <w:szCs w:val="20"/>
        </w:rPr>
        <w:t xml:space="preserve">2025</w:t>
      </w:r>
    </w:p>
    <w:p>
      <w:pPr>
        <w:sectPr>
          <w:pgSz w:w="12240" w:h="15840" w:orient="portrait"/>
          <w:pgMar w:top="1440" w:right="1440" w:bottom="1440" w:left="1440" w:header="708" w:footer="708" w:gutter="0"/>
          <w:pgNumType/>
          <w:docGrid w:linePitch="360"/>
        </w:sectPr>
      </w:pPr>
    </w:p>
    <w:p>
      <w:pPr>
        <w:pStyle w:val="Heading1"/>
        <w:pBdr>
          <w:bottom w:val="single" w:color="C9A84C" w:sz="8" w:space="6"/>
        </w:pBdr>
        <w:spacing w:after="120" w:before="360"/>
      </w:pPr>
      <w:r>
        <w:rPr>
          <w:rFonts w:ascii="Arial" w:cs="Arial" w:eastAsia="Arial" w:hAnsi="Arial"/>
          <w:b/>
          <w:bCs/>
          <w:color w:val="1B2A4A"/>
          <w:sz w:val="32"/>
          <w:szCs w:val="32"/>
        </w:rPr>
        <w:t xml:space="preserve">1. Executive Summary</w:t>
      </w:r>
    </w:p>
    <w:p>
      <w:pPr>
        <w:spacing w:after="100" w:before="60"/>
      </w:pPr>
      <w:r>
        <w:rPr>
          <w:rFonts w:ascii="Arial" w:cs="Arial" w:eastAsia="Arial" w:hAnsi="Arial"/>
          <w:color w:val="1A1A1A"/>
          <w:sz w:val="22"/>
          <w:szCs w:val="22"/>
        </w:rPr>
        <w:t xml:space="preserve">HomeToken is a homeowner-controlled equity tokenization platform designed to convert residential real estate equity into a productive, yield-generating asset — without debt, without predatory fee structures, and without surrendering ownership or control.</w:t>
      </w:r>
    </w:p>
    <w:p>
      <w:pPr>
        <w:spacing w:after="120" w:before="0"/>
      </w:pPr>
      <w:r>
        <w:t xml:space="preserve"/>
      </w:r>
    </w:p>
    <w:p>
      <w:pPr>
        <w:spacing w:after="100" w:before="60"/>
      </w:pPr>
      <w:r>
        <w:rPr>
          <w:rFonts w:ascii="Arial" w:cs="Arial" w:eastAsia="Arial" w:hAnsi="Arial"/>
          <w:color w:val="1A1A1A"/>
          <w:sz w:val="22"/>
          <w:szCs w:val="22"/>
        </w:rPr>
        <w:t xml:space="preserve">The platform is built on three foundational principles:</w:t>
      </w:r>
    </w:p>
    <w:p>
      <w:pPr>
        <w:pStyle w:val="ListParagraph"/>
        <w:numPr>
          <w:ilvl w:val="0"/>
          <w:numId w:val="2"/>
        </w:numPr>
        <w:spacing w:after="40" w:before="40"/>
      </w:pPr>
      <w:r>
        <w:rPr>
          <w:rFonts w:ascii="Arial" w:cs="Arial" w:eastAsia="Arial" w:hAnsi="Arial"/>
          <w:color w:val="1A1A1A"/>
          <w:sz w:val="22"/>
          <w:szCs w:val="22"/>
        </w:rPr>
        <w:t xml:space="preserve">The homeowner retains title at all times. Tokens represent fractional synthetic equity interests, not deed transfers.</w:t>
      </w:r>
    </w:p>
    <w:p>
      <w:pPr>
        <w:pStyle w:val="ListParagraph"/>
        <w:numPr>
          <w:ilvl w:val="0"/>
          <w:numId w:val="2"/>
        </w:numPr>
        <w:spacing w:after="40" w:before="40"/>
      </w:pPr>
      <w:r>
        <w:rPr>
          <w:rFonts w:ascii="Arial" w:cs="Arial" w:eastAsia="Arial" w:hAnsi="Arial"/>
          <w:color w:val="1A1A1A"/>
          <w:sz w:val="22"/>
          <w:szCs w:val="22"/>
        </w:rPr>
        <w:t xml:space="preserve">Equity works for the homeowner, not the institution. Returns are generated through deployment into an institutional-grade fund strategy with a verified five-year track record exceeding 25% annual returns at low risk.</w:t>
      </w:r>
    </w:p>
    <w:p>
      <w:pPr>
        <w:pStyle w:val="ListParagraph"/>
        <w:numPr>
          <w:ilvl w:val="0"/>
          <w:numId w:val="2"/>
        </w:numPr>
        <w:spacing w:after="40" w:before="40"/>
      </w:pPr>
      <w:r>
        <w:rPr>
          <w:rFonts w:ascii="Arial" w:cs="Arial" w:eastAsia="Arial" w:hAnsi="Arial"/>
          <w:color w:val="1A1A1A"/>
          <w:sz w:val="22"/>
          <w:szCs w:val="22"/>
        </w:rPr>
        <w:t xml:space="preserve">Liquidity is the homeowner's choice. Tokens can be held, pledged, or sold on a peer-to-peer marketplace at the homeowner's discretion and pace.</w:t>
      </w:r>
    </w:p>
    <w:p>
      <w:pPr>
        <w:spacing w:after="120" w:before="0"/>
      </w:pPr>
      <w:r>
        <w:t xml:space="preserve"/>
      </w:r>
    </w:p>
    <w:tbl>
      <w:tblPr>
        <w:tblW w:type="dxa" w:w="9360"/>
        <w:tblBorders>
          <w:top w:val="single" w:color="C9A84C" w:sz="1"/>
          <w:left w:val="single" w:color="C9A84C" w:sz="20"/>
          <w:bottom w:val="single" w:color="C9A84C" w:sz="1"/>
          <w:right w:val="single" w:color="C9A84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4F7" w:val="clear"/>
            <w:tcMar>
              <w:top w:type="dxa" w:w="180"/>
              <w:left w:type="dxa" w:w="240"/>
              <w:bottom w:type="dxa" w:w="180"/>
              <w:right w:type="dxa" w:w="240"/>
            </w:tcMar>
          </w:tcPr>
          <w:p>
            <w:pPr>
              <w:spacing w:after="60" w:before="0"/>
            </w:pPr>
            <w:r>
              <w:rPr>
                <w:rFonts w:ascii="Arial" w:cs="Arial" w:eastAsia="Arial" w:hAnsi="Arial"/>
                <w:b/>
                <w:bCs/>
                <w:color w:val="C9A84C"/>
                <w:sz w:val="20"/>
                <w:szCs w:val="20"/>
              </w:rPr>
              <w:t xml:space="preserve">Mission Statement</w:t>
            </w:r>
          </w:p>
          <w:p>
            <w:pPr>
              <w:spacing w:after="0" w:before="0"/>
            </w:pPr>
            <w:r>
              <w:rPr>
                <w:rFonts w:ascii="Arial" w:cs="Arial" w:eastAsia="Arial" w:hAnsi="Arial"/>
                <w:color w:val="1A1A1A"/>
                <w:sz w:val="21"/>
                <w:szCs w:val="21"/>
              </w:rPr>
              <w:t xml:space="preserve">HomeToken is the anti-institutional home equity platform. Where corporate entities have used capital aggregation to price ordinary Americans out of homeownership, HomeToken uses the same financial technology to put institutional-grade returns back in the hands of the homeowner.</w:t>
            </w:r>
          </w:p>
        </w:tc>
      </w:tr>
    </w:tbl>
    <w:p>
      <w:pPr>
        <w:spacing w:after="120" w:before="0"/>
      </w:pPr>
      <w:r>
        <w:t xml:space="preserve"/>
      </w:r>
    </w:p>
    <w:p>
      <w:pPr>
        <w:spacing w:after="100" w:before="60"/>
      </w:pPr>
      <w:r>
        <w:rPr>
          <w:rFonts w:ascii="Arial" w:cs="Arial" w:eastAsia="Arial" w:hAnsi="Arial"/>
          <w:color w:val="1A1A1A"/>
          <w:sz w:val="22"/>
          <w:szCs w:val="22"/>
        </w:rPr>
        <w:t xml:space="preserve">The platform addresses three underserved markets simultaneously: homeowners seeking yield from trapped equity, seniors seeking a humane and controlled alternative to predatory reverse mortgages, and estate executors and sellers seeking lower-cost liquidity on residential real estate.</w:t>
      </w:r>
    </w:p>
    <w:p>
      <w:pPr>
        <w:pBdr>
          <w:bottom w:val="single" w:color="D0D7E2" w:sz="4" w:space="1"/>
        </w:pBdr>
        <w:spacing w:after="160" w:before="160"/>
      </w:pPr>
      <w:r>
        <w:t xml:space="preserve"/>
      </w:r>
    </w:p>
    <w:p>
      <w:pPr>
        <w:pStyle w:val="Heading1"/>
        <w:pBdr>
          <w:bottom w:val="single" w:color="C9A84C" w:sz="8" w:space="6"/>
        </w:pBdr>
        <w:spacing w:after="120" w:before="360"/>
      </w:pPr>
      <w:r>
        <w:rPr>
          <w:rFonts w:ascii="Arial" w:cs="Arial" w:eastAsia="Arial" w:hAnsi="Arial"/>
          <w:b/>
          <w:bCs/>
          <w:color w:val="1B2A4A"/>
          <w:sz w:val="32"/>
          <w:szCs w:val="32"/>
        </w:rPr>
        <w:t xml:space="preserve">2. The Problem: Trapped Equity, Predatory Products</w:t>
      </w:r>
    </w:p>
    <w:p>
      <w:pPr>
        <w:pStyle w:val="Heading2"/>
        <w:spacing w:after="80" w:before="280"/>
      </w:pPr>
      <w:r>
        <w:rPr>
          <w:rFonts w:ascii="Arial" w:cs="Arial" w:eastAsia="Arial" w:hAnsi="Arial"/>
          <w:b/>
          <w:bCs/>
          <w:color w:val="4A6FA5"/>
          <w:sz w:val="26"/>
          <w:szCs w:val="26"/>
        </w:rPr>
        <w:t xml:space="preserve">2.1 The Scale of the Opportunity</w:t>
      </w:r>
    </w:p>
    <w:p>
      <w:pPr>
        <w:spacing w:after="100" w:before="60"/>
      </w:pPr>
      <w:r>
        <w:rPr>
          <w:rFonts w:ascii="Arial" w:cs="Arial" w:eastAsia="Arial" w:hAnsi="Arial"/>
          <w:color w:val="1A1A1A"/>
          <w:sz w:val="22"/>
          <w:szCs w:val="22"/>
        </w:rPr>
        <w:t xml:space="preserve">American homeowners collectively hold an estimated $32 trillion in home equity. The vast majority of this capital is entirely illiquid — it generates no return, cannot be deployed without taking on debt, and can only be accessed through mechanisms that transfer significant economic value to financial intermediaries.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Equity Access Method</w:t>
            </w:r>
          </w:p>
        </w:tc>
        <w:tc>
          <w:tcPr>
            <w:tcW w:type="dxa" w:w="468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Primary Cost to Homeowner</w:t>
            </w:r>
          </w:p>
        </w:tc>
      </w:tr>
      <w:tr>
        <w:tc>
          <w:tcPr>
            <w:tcW w:type="dxa" w:w="468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Home Equity Loan (HELOC)</w:t>
            </w:r>
          </w:p>
        </w:tc>
        <w:tc>
          <w:tcPr>
            <w:tcW w:type="dxa" w:w="468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6–9% interest + origination fees + appraisal</w:t>
            </w:r>
          </w:p>
        </w:tc>
      </w:tr>
      <w:tr>
        <w:tc>
          <w:tcPr>
            <w:tcW w:type="dxa" w:w="468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Cash-Out Refinance</w:t>
            </w:r>
          </w:p>
        </w:tc>
        <w:tc>
          <w:tcPr>
            <w:tcW w:type="dxa" w:w="468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Closing costs 2–5% + higher rate on entire balance</w:t>
            </w:r>
          </w:p>
        </w:tc>
      </w:tr>
      <w:tr>
        <w:tc>
          <w:tcPr>
            <w:tcW w:type="dxa" w:w="468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Reverse Mortgage</w:t>
            </w:r>
          </w:p>
        </w:tc>
        <w:tc>
          <w:tcPr>
            <w:tcW w:type="dxa" w:w="468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Origination fees up to $6,000 + MIP + servicing fees + compounding interest</w:t>
            </w:r>
          </w:p>
        </w:tc>
      </w:tr>
      <w:tr>
        <w:tc>
          <w:tcPr>
            <w:tcW w:type="dxa" w:w="468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Traditional Home Sale</w:t>
            </w:r>
          </w:p>
        </w:tc>
        <w:tc>
          <w:tcPr>
            <w:tcW w:type="dxa" w:w="468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5–6% broker commission + transfer taxes + closing costs</w:t>
            </w:r>
          </w:p>
        </w:tc>
      </w:tr>
      <w:tr>
        <w:tc>
          <w:tcPr>
            <w:tcW w:type="dxa" w:w="468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HomeToken Platform</w:t>
            </w:r>
          </w:p>
        </w:tc>
        <w:tc>
          <w:tcPr>
            <w:tcW w:type="dxa" w:w="468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Platform fee (target: sub-1%) + fund management fee on deployed capital</w:t>
            </w:r>
          </w:p>
        </w:tc>
      </w:tr>
    </w:tbl>
    <w:p>
      <w:pPr>
        <w:spacing w:after="120" w:before="0"/>
      </w:pPr>
      <w:r>
        <w:t xml:space="preserve"/>
      </w:r>
    </w:p>
    <w:p>
      <w:pPr>
        <w:pStyle w:val="Heading2"/>
        <w:spacing w:after="80" w:before="280"/>
      </w:pPr>
      <w:r>
        <w:rPr>
          <w:rFonts w:ascii="Arial" w:cs="Arial" w:eastAsia="Arial" w:hAnsi="Arial"/>
          <w:b/>
          <w:bCs/>
          <w:color w:val="4A6FA5"/>
          <w:sz w:val="26"/>
          <w:szCs w:val="26"/>
        </w:rPr>
        <w:t xml:space="preserve">2.2 The Reverse Mortgage Problem</w:t>
      </w:r>
    </w:p>
    <w:p>
      <w:pPr>
        <w:spacing w:after="100" w:before="60"/>
      </w:pPr>
      <w:r>
        <w:rPr>
          <w:rFonts w:ascii="Arial" w:cs="Arial" w:eastAsia="Arial" w:hAnsi="Arial"/>
          <w:color w:val="1A1A1A"/>
          <w:sz w:val="22"/>
          <w:szCs w:val="22"/>
        </w:rPr>
        <w:t xml:space="preserve">The reverse mortgage market has long been criticized as a product that systematically transfers wealth from elderly homeowners and their heirs to lending institutions. Core structural problems include:</w:t>
      </w:r>
    </w:p>
    <w:p>
      <w:pPr>
        <w:pStyle w:val="ListParagraph"/>
        <w:numPr>
          <w:ilvl w:val="0"/>
          <w:numId w:val="2"/>
        </w:numPr>
        <w:spacing w:after="40" w:before="40"/>
      </w:pPr>
      <w:r>
        <w:rPr>
          <w:rFonts w:ascii="Arial" w:cs="Arial" w:eastAsia="Arial" w:hAnsi="Arial"/>
          <w:color w:val="1A1A1A"/>
          <w:sz w:val="22"/>
          <w:szCs w:val="22"/>
        </w:rPr>
        <w:t xml:space="preserve">Compounding interest accrues on the loan balance over time, rapidly eroding equity</w:t>
      </w:r>
    </w:p>
    <w:p>
      <w:pPr>
        <w:pStyle w:val="ListParagraph"/>
        <w:numPr>
          <w:ilvl w:val="0"/>
          <w:numId w:val="2"/>
        </w:numPr>
        <w:spacing w:after="40" w:before="40"/>
      </w:pPr>
      <w:r>
        <w:rPr>
          <w:rFonts w:ascii="Arial" w:cs="Arial" w:eastAsia="Arial" w:hAnsi="Arial"/>
          <w:color w:val="1A1A1A"/>
          <w:sz w:val="22"/>
          <w:szCs w:val="22"/>
        </w:rPr>
        <w:t xml:space="preserve">Mandatory mortgage insurance premiums add ongoing cost regardless of market performance</w:t>
      </w:r>
    </w:p>
    <w:p>
      <w:pPr>
        <w:pStyle w:val="ListParagraph"/>
        <w:numPr>
          <w:ilvl w:val="0"/>
          <w:numId w:val="2"/>
        </w:numPr>
        <w:spacing w:after="40" w:before="40"/>
      </w:pPr>
      <w:r>
        <w:rPr>
          <w:rFonts w:ascii="Arial" w:cs="Arial" w:eastAsia="Arial" w:hAnsi="Arial"/>
          <w:color w:val="1A1A1A"/>
          <w:sz w:val="22"/>
          <w:szCs w:val="22"/>
        </w:rPr>
        <w:t xml:space="preserve">Heirs frequently discover the estate has little or no equity remaining upon death</w:t>
      </w:r>
    </w:p>
    <w:p>
      <w:pPr>
        <w:pStyle w:val="ListParagraph"/>
        <w:numPr>
          <w:ilvl w:val="0"/>
          <w:numId w:val="2"/>
        </w:numPr>
        <w:spacing w:after="40" w:before="40"/>
      </w:pPr>
      <w:r>
        <w:rPr>
          <w:rFonts w:ascii="Arial" w:cs="Arial" w:eastAsia="Arial" w:hAnsi="Arial"/>
          <w:color w:val="1A1A1A"/>
          <w:sz w:val="22"/>
          <w:szCs w:val="22"/>
        </w:rPr>
        <w:t xml:space="preserve">The homeowner has no mechanism to control the pace or amount of equity monetization</w:t>
      </w:r>
    </w:p>
    <w:p>
      <w:pPr>
        <w:pStyle w:val="ListParagraph"/>
        <w:numPr>
          <w:ilvl w:val="0"/>
          <w:numId w:val="2"/>
        </w:numPr>
        <w:spacing w:after="40" w:before="40"/>
      </w:pPr>
      <w:r>
        <w:rPr>
          <w:rFonts w:ascii="Arial" w:cs="Arial" w:eastAsia="Arial" w:hAnsi="Arial"/>
          <w:color w:val="1A1A1A"/>
          <w:sz w:val="22"/>
          <w:szCs w:val="22"/>
        </w:rPr>
        <w:t xml:space="preserve">Loan servicers have financial incentives misaligned with the homeowner's long-term interests</w:t>
      </w:r>
    </w:p>
    <w:p>
      <w:pPr>
        <w:spacing w:after="120" w:before="0"/>
      </w:pPr>
      <w:r>
        <w:t xml:space="preserve"/>
      </w:r>
    </w:p>
    <w:tbl>
      <w:tblPr>
        <w:tblW w:type="dxa" w:w="9360"/>
        <w:tblBorders>
          <w:top w:val="single" w:color="C9A84C" w:sz="1"/>
          <w:left w:val="single" w:color="C9A84C" w:sz="20"/>
          <w:bottom w:val="single" w:color="C9A84C" w:sz="1"/>
          <w:right w:val="single" w:color="C9A84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4F7" w:val="clear"/>
            <w:tcMar>
              <w:top w:type="dxa" w:w="180"/>
              <w:left w:type="dxa" w:w="240"/>
              <w:bottom w:type="dxa" w:w="180"/>
              <w:right w:type="dxa" w:w="240"/>
            </w:tcMar>
          </w:tcPr>
          <w:p>
            <w:pPr>
              <w:spacing w:after="60" w:before="0"/>
            </w:pPr>
            <w:r>
              <w:rPr>
                <w:rFonts w:ascii="Arial" w:cs="Arial" w:eastAsia="Arial" w:hAnsi="Arial"/>
                <w:b/>
                <w:bCs/>
                <w:color w:val="C9A84C"/>
                <w:sz w:val="20"/>
                <w:szCs w:val="20"/>
              </w:rPr>
              <w:t xml:space="preserve">Key Insight</w:t>
            </w:r>
          </w:p>
          <w:p>
            <w:pPr>
              <w:spacing w:after="0" w:before="0"/>
            </w:pPr>
            <w:r>
              <w:rPr>
                <w:rFonts w:ascii="Arial" w:cs="Arial" w:eastAsia="Arial" w:hAnsi="Arial"/>
                <w:color w:val="1A1A1A"/>
                <w:sz w:val="21"/>
                <w:szCs w:val="21"/>
              </w:rPr>
              <w:t xml:space="preserve">The reverse mortgage is structurally a one-way ratchet. Once equity is pledged, the homeowner loses all control over pace, amount, and exit. HomeToken inverts this: the homeowner controls everything, at all times.</w:t>
            </w:r>
          </w:p>
        </w:tc>
      </w:tr>
    </w:tbl>
    <w:p>
      <w:pPr>
        <w:pStyle w:val="Heading2"/>
        <w:spacing w:after="80" w:before="280"/>
      </w:pPr>
      <w:r>
        <w:rPr>
          <w:rFonts w:ascii="Arial" w:cs="Arial" w:eastAsia="Arial" w:hAnsi="Arial"/>
          <w:b/>
          <w:bCs/>
          <w:color w:val="4A6FA5"/>
          <w:sz w:val="26"/>
          <w:szCs w:val="26"/>
        </w:rPr>
        <w:t xml:space="preserve">2.3 The Corporate Ownership Problem</w:t>
      </w:r>
    </w:p>
    <w:p>
      <w:pPr>
        <w:spacing w:after="100" w:before="60"/>
      </w:pPr>
      <w:r>
        <w:rPr>
          <w:rFonts w:ascii="Arial" w:cs="Arial" w:eastAsia="Arial" w:hAnsi="Arial"/>
          <w:color w:val="1A1A1A"/>
          <w:sz w:val="22"/>
          <w:szCs w:val="22"/>
        </w:rPr>
        <w:t xml:space="preserve">The platform's founders are explicitly opposed to the institutional aggregation of residential real estate, a practice that has materially contributed to affordability crises in markets across the United States. HomeToken is designed with architectural constraints that prevent the platform itself from acquiring residential homes, ensuring that all tokenized assets remain owner-occupied and owner-controlled throughout their participation on the platform.</w:t>
      </w:r>
    </w:p>
    <w:p>
      <w:pPr>
        <w:pBdr>
          <w:bottom w:val="single" w:color="D0D7E2" w:sz="4" w:space="1"/>
        </w:pBdr>
        <w:spacing w:after="160" w:before="160"/>
      </w:pPr>
      <w:r>
        <w:t xml:space="preserve"/>
      </w:r>
    </w:p>
    <w:p>
      <w:pPr>
        <w:pStyle w:val="Heading1"/>
        <w:pBdr>
          <w:bottom w:val="single" w:color="C9A84C" w:sz="8" w:space="6"/>
        </w:pBdr>
        <w:spacing w:after="120" w:before="360"/>
      </w:pPr>
      <w:r>
        <w:rPr>
          <w:rFonts w:ascii="Arial" w:cs="Arial" w:eastAsia="Arial" w:hAnsi="Arial"/>
          <w:b/>
          <w:bCs/>
          <w:color w:val="1B2A4A"/>
          <w:sz w:val="32"/>
          <w:szCs w:val="32"/>
        </w:rPr>
        <w:t xml:space="preserve">3. The HomeToken Solution Architecture</w:t>
      </w:r>
    </w:p>
    <w:p>
      <w:pPr>
        <w:pStyle w:val="Heading2"/>
        <w:spacing w:after="80" w:before="280"/>
      </w:pPr>
      <w:r>
        <w:rPr>
          <w:rFonts w:ascii="Arial" w:cs="Arial" w:eastAsia="Arial" w:hAnsi="Arial"/>
          <w:b/>
          <w:bCs/>
          <w:color w:val="4A6FA5"/>
          <w:sz w:val="26"/>
          <w:szCs w:val="26"/>
        </w:rPr>
        <w:t xml:space="preserve">3.1 Platform Overview</w:t>
      </w:r>
    </w:p>
    <w:p>
      <w:pPr>
        <w:spacing w:after="100" w:before="60"/>
      </w:pPr>
      <w:r>
        <w:rPr>
          <w:rFonts w:ascii="Arial" w:cs="Arial" w:eastAsia="Arial" w:hAnsi="Arial"/>
          <w:color w:val="1A1A1A"/>
          <w:sz w:val="22"/>
          <w:szCs w:val="22"/>
        </w:rPr>
        <w:t xml:space="preserve">HomeToken operates as a three-layer system: a tokenization infrastructure layer, a capital deployment layer, and a marketplace layer. These three layers serve distinct use cases while sharing a common asset base and ownership verification framework.</w:t>
      </w:r>
    </w:p>
    <w:p>
      <w:pPr>
        <w:spacing w:after="120" w:before="0"/>
      </w:pPr>
      <w:r>
        <w:t xml:space="preserve"/>
      </w:r>
    </w:p>
    <w:p>
      <w:pPr>
        <w:pStyle w:val="Heading2"/>
        <w:spacing w:after="80" w:before="280"/>
      </w:pPr>
      <w:r>
        <w:rPr>
          <w:rFonts w:ascii="Arial" w:cs="Arial" w:eastAsia="Arial" w:hAnsi="Arial"/>
          <w:b/>
          <w:bCs/>
          <w:color w:val="4A6FA5"/>
          <w:sz w:val="26"/>
          <w:szCs w:val="26"/>
        </w:rPr>
        <w:t xml:space="preserve">3.2 Use Case 1 — Yield Generation (HELOC Replacement)</w:t>
      </w:r>
    </w:p>
    <w:p>
      <w:pPr>
        <w:pStyle w:val="Heading3"/>
        <w:spacing w:after="60" w:before="200"/>
      </w:pPr>
      <w:r>
        <w:rPr>
          <w:rFonts w:ascii="Arial" w:cs="Arial" w:eastAsia="Arial" w:hAnsi="Arial"/>
          <w:b/>
          <w:bCs/>
          <w:color w:val="1B2A4A"/>
          <w:sz w:val="22"/>
          <w:szCs w:val="22"/>
        </w:rPr>
        <w:t xml:space="preserve">How It Works</w:t>
      </w:r>
    </w:p>
    <w:p>
      <w:pPr>
        <w:pStyle w:val="ListParagraph"/>
        <w:numPr>
          <w:ilvl w:val="0"/>
          <w:numId w:val="3"/>
        </w:numPr>
        <w:spacing w:after="40" w:before="40"/>
      </w:pPr>
      <w:r>
        <w:rPr>
          <w:rFonts w:ascii="Arial" w:cs="Arial" w:eastAsia="Arial" w:hAnsi="Arial"/>
          <w:color w:val="1A1A1A"/>
          <w:sz w:val="22"/>
          <w:szCs w:val="22"/>
        </w:rPr>
        <w:t xml:space="preserve">Homeowner completes identity verification, property title verification, and AVM (Automated Valuation Model) appraisal.</w:t>
      </w:r>
    </w:p>
    <w:p>
      <w:pPr>
        <w:pStyle w:val="ListParagraph"/>
        <w:numPr>
          <w:ilvl w:val="0"/>
          <w:numId w:val="3"/>
        </w:numPr>
        <w:spacing w:after="40" w:before="40"/>
      </w:pPr>
      <w:r>
        <w:rPr>
          <w:rFonts w:ascii="Arial" w:cs="Arial" w:eastAsia="Arial" w:hAnsi="Arial"/>
          <w:color w:val="1A1A1A"/>
          <w:sz w:val="22"/>
          <w:szCs w:val="22"/>
        </w:rPr>
        <w:t xml:space="preserve">The home is tokenized: 1,000 tokens are minted representing 100% of the property's equity (net of any existing mortgage liens).</w:t>
      </w:r>
    </w:p>
    <w:p>
      <w:pPr>
        <w:pStyle w:val="ListParagraph"/>
        <w:numPr>
          <w:ilvl w:val="0"/>
          <w:numId w:val="3"/>
        </w:numPr>
        <w:spacing w:after="40" w:before="40"/>
      </w:pPr>
      <w:r>
        <w:rPr>
          <w:rFonts w:ascii="Arial" w:cs="Arial" w:eastAsia="Arial" w:hAnsi="Arial"/>
          <w:color w:val="1A1A1A"/>
          <w:sz w:val="22"/>
          <w:szCs w:val="22"/>
        </w:rPr>
        <w:t xml:space="preserve">The homeowner repurchases all 1,000 tokens, retaining full beneficial ownership.</w:t>
      </w:r>
    </w:p>
    <w:p>
      <w:pPr>
        <w:pStyle w:val="ListParagraph"/>
        <w:numPr>
          <w:ilvl w:val="0"/>
          <w:numId w:val="3"/>
        </w:numPr>
        <w:spacing w:after="40" w:before="40"/>
      </w:pPr>
      <w:r>
        <w:rPr>
          <w:rFonts w:ascii="Arial" w:cs="Arial" w:eastAsia="Arial" w:hAnsi="Arial"/>
          <w:color w:val="1A1A1A"/>
          <w:sz w:val="22"/>
          <w:szCs w:val="22"/>
        </w:rPr>
        <w:t xml:space="preserve">The homeowner pledges tokens as collateral to the platform.</w:t>
      </w:r>
    </w:p>
    <w:p>
      <w:pPr>
        <w:pStyle w:val="ListParagraph"/>
        <w:numPr>
          <w:ilvl w:val="0"/>
          <w:numId w:val="3"/>
        </w:numPr>
        <w:spacing w:after="40" w:before="40"/>
      </w:pPr>
      <w:r>
        <w:rPr>
          <w:rFonts w:ascii="Arial" w:cs="Arial" w:eastAsia="Arial" w:hAnsi="Arial"/>
          <w:color w:val="1A1A1A"/>
          <w:sz w:val="22"/>
          <w:szCs w:val="22"/>
        </w:rPr>
        <w:t xml:space="preserve">Pledged capital is deployed into the institutional fund strategy managed by HomeToken Capital Management.</w:t>
      </w:r>
    </w:p>
    <w:p>
      <w:pPr>
        <w:pStyle w:val="ListParagraph"/>
        <w:numPr>
          <w:ilvl w:val="0"/>
          <w:numId w:val="3"/>
        </w:numPr>
        <w:spacing w:after="40" w:before="40"/>
      </w:pPr>
      <w:r>
        <w:rPr>
          <w:rFonts w:ascii="Arial" w:cs="Arial" w:eastAsia="Arial" w:hAnsi="Arial"/>
          <w:color w:val="1A1A1A"/>
          <w:sz w:val="22"/>
          <w:szCs w:val="22"/>
        </w:rPr>
        <w:t xml:space="preserve">Fund returns are distributed quarterly to the homeowner's account, net of platform fees.</w:t>
      </w:r>
    </w:p>
    <w:p>
      <w:pPr>
        <w:pStyle w:val="ListParagraph"/>
        <w:numPr>
          <w:ilvl w:val="0"/>
          <w:numId w:val="3"/>
        </w:numPr>
        <w:spacing w:after="40" w:before="40"/>
      </w:pPr>
      <w:r>
        <w:rPr>
          <w:rFonts w:ascii="Arial" w:cs="Arial" w:eastAsia="Arial" w:hAnsi="Arial"/>
          <w:color w:val="1A1A1A"/>
          <w:sz w:val="22"/>
          <w:szCs w:val="22"/>
        </w:rPr>
        <w:t xml:space="preserve">The homeowner can withdraw the pledge at any time, recovering their tokens and exiting the yield position.</w:t>
      </w:r>
    </w:p>
    <w:p>
      <w:pPr>
        <w:spacing w:after="120" w:before="0"/>
      </w:pPr>
      <w:r>
        <w:t xml:space="preserve"/>
      </w:r>
    </w:p>
    <w:tbl>
      <w:tblPr>
        <w:tblW w:type="dxa" w:w="9360"/>
        <w:tblBorders>
          <w:top w:val="single" w:color="C9A84C" w:sz="1"/>
          <w:left w:val="single" w:color="C9A84C" w:sz="20"/>
          <w:bottom w:val="single" w:color="C9A84C" w:sz="1"/>
          <w:right w:val="single" w:color="C9A84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4F7" w:val="clear"/>
            <w:tcMar>
              <w:top w:type="dxa" w:w="180"/>
              <w:left w:type="dxa" w:w="240"/>
              <w:bottom w:type="dxa" w:w="180"/>
              <w:right w:type="dxa" w:w="240"/>
            </w:tcMar>
          </w:tcPr>
          <w:p>
            <w:pPr>
              <w:spacing w:after="60" w:before="0"/>
            </w:pPr>
            <w:r>
              <w:rPr>
                <w:rFonts w:ascii="Arial" w:cs="Arial" w:eastAsia="Arial" w:hAnsi="Arial"/>
                <w:b/>
                <w:bCs/>
                <w:color w:val="C9A84C"/>
                <w:sz w:val="20"/>
                <w:szCs w:val="20"/>
              </w:rPr>
              <w:t xml:space="preserve">Fund Performance Context</w:t>
            </w:r>
          </w:p>
          <w:p>
            <w:pPr>
              <w:spacing w:after="0" w:before="0"/>
            </w:pPr>
            <w:r>
              <w:rPr>
                <w:rFonts w:ascii="Arial" w:cs="Arial" w:eastAsia="Arial" w:hAnsi="Arial"/>
                <w:color w:val="1A1A1A"/>
                <w:sz w:val="21"/>
                <w:szCs w:val="21"/>
              </w:rPr>
              <w:t xml:space="preserve">HomeToken Capital Management's lead investment officer scaled institutional assets under management to $5 billion with a verified track record exceeding 25% annual returns at extremely low risk over a sustained multi-year period. This track record forms the core economic engine of the platform's yield proposition.</w:t>
            </w:r>
          </w:p>
        </w:tc>
      </w:tr>
    </w:tbl>
    <w:p>
      <w:pPr>
        <w:spacing w:after="120" w:before="0"/>
      </w:pPr>
      <w:r>
        <w:t xml:space="preserve"/>
      </w:r>
    </w:p>
    <w:p>
      <w:pPr>
        <w:pStyle w:val="Heading2"/>
        <w:spacing w:after="80" w:before="280"/>
      </w:pPr>
      <w:r>
        <w:rPr>
          <w:rFonts w:ascii="Arial" w:cs="Arial" w:eastAsia="Arial" w:hAnsi="Arial"/>
          <w:b/>
          <w:bCs/>
          <w:color w:val="4A6FA5"/>
          <w:sz w:val="26"/>
          <w:szCs w:val="26"/>
        </w:rPr>
        <w:t xml:space="preserve">3.3 Use Case 2 — Reverse Mortgage Replacement</w:t>
      </w:r>
    </w:p>
    <w:p>
      <w:pPr>
        <w:pStyle w:val="Heading3"/>
        <w:spacing w:after="60" w:before="200"/>
      </w:pPr>
      <w:r>
        <w:rPr>
          <w:rFonts w:ascii="Arial" w:cs="Arial" w:eastAsia="Arial" w:hAnsi="Arial"/>
          <w:b/>
          <w:bCs/>
          <w:color w:val="1B2A4A"/>
          <w:sz w:val="22"/>
          <w:szCs w:val="22"/>
        </w:rPr>
        <w:t xml:space="preserve">How It Works</w:t>
      </w:r>
    </w:p>
    <w:p>
      <w:pPr>
        <w:spacing w:after="100" w:before="60"/>
      </w:pPr>
      <w:r>
        <w:rPr>
          <w:rFonts w:ascii="Arial" w:cs="Arial" w:eastAsia="Arial" w:hAnsi="Arial"/>
          <w:color w:val="1A1A1A"/>
          <w:sz w:val="22"/>
          <w:szCs w:val="22"/>
        </w:rPr>
        <w:t xml:space="preserve">Rather than pledging tokens for yield, seniors can sell tokens on a controlled, self-determined schedule:</w:t>
      </w:r>
    </w:p>
    <w:p>
      <w:pPr>
        <w:pStyle w:val="ListParagraph"/>
        <w:numPr>
          <w:ilvl w:val="0"/>
          <w:numId w:val="2"/>
        </w:numPr>
        <w:spacing w:after="40" w:before="40"/>
      </w:pPr>
      <w:r>
        <w:rPr>
          <w:rFonts w:ascii="Arial" w:cs="Arial" w:eastAsia="Arial" w:hAnsi="Arial"/>
          <w:color w:val="1A1A1A"/>
          <w:sz w:val="22"/>
          <w:szCs w:val="22"/>
        </w:rPr>
        <w:t xml:space="preserve">Homeowner retains 1,000 tokens at origination</w:t>
      </w:r>
    </w:p>
    <w:p>
      <w:pPr>
        <w:pStyle w:val="ListParagraph"/>
        <w:numPr>
          <w:ilvl w:val="0"/>
          <w:numId w:val="2"/>
        </w:numPr>
        <w:spacing w:after="40" w:before="40"/>
      </w:pPr>
      <w:r>
        <w:rPr>
          <w:rFonts w:ascii="Arial" w:cs="Arial" w:eastAsia="Arial" w:hAnsi="Arial"/>
          <w:color w:val="1A1A1A"/>
          <w:sz w:val="22"/>
          <w:szCs w:val="22"/>
        </w:rPr>
        <w:t xml:space="preserve">Each year, the homeowner may elect to sell a defined quantity of tokens — for example, 50 tokens per year representing 5% of the home's equity value — on the HomeToken marketplace</w:t>
      </w:r>
    </w:p>
    <w:p>
      <w:pPr>
        <w:pStyle w:val="ListParagraph"/>
        <w:numPr>
          <w:ilvl w:val="0"/>
          <w:numId w:val="2"/>
        </w:numPr>
        <w:spacing w:after="40" w:before="40"/>
      </w:pPr>
      <w:r>
        <w:rPr>
          <w:rFonts w:ascii="Arial" w:cs="Arial" w:eastAsia="Arial" w:hAnsi="Arial"/>
          <w:color w:val="1A1A1A"/>
          <w:sz w:val="22"/>
          <w:szCs w:val="22"/>
        </w:rPr>
        <w:t xml:space="preserve">Token sale proceeds are paid to the homeowner immediately, with no interest accrual, no compounding liability, and no mandatory mortgage insurance</w:t>
      </w:r>
    </w:p>
    <w:p>
      <w:pPr>
        <w:pStyle w:val="ListParagraph"/>
        <w:numPr>
          <w:ilvl w:val="0"/>
          <w:numId w:val="2"/>
        </w:numPr>
        <w:spacing w:after="40" w:before="40"/>
      </w:pPr>
      <w:r>
        <w:rPr>
          <w:rFonts w:ascii="Arial" w:cs="Arial" w:eastAsia="Arial" w:hAnsi="Arial"/>
          <w:color w:val="1A1A1A"/>
          <w:sz w:val="22"/>
          <w:szCs w:val="22"/>
        </w:rPr>
        <w:t xml:space="preserve">The homeowner continues to live in the property and retains the remaining tokens</w:t>
      </w:r>
    </w:p>
    <w:p>
      <w:pPr>
        <w:pStyle w:val="ListParagraph"/>
        <w:numPr>
          <w:ilvl w:val="0"/>
          <w:numId w:val="2"/>
        </w:numPr>
        <w:spacing w:after="40" w:before="40"/>
      </w:pPr>
      <w:r>
        <w:rPr>
          <w:rFonts w:ascii="Arial" w:cs="Arial" w:eastAsia="Arial" w:hAnsi="Arial"/>
          <w:color w:val="1A1A1A"/>
          <w:sz w:val="22"/>
          <w:szCs w:val="22"/>
        </w:rPr>
        <w:t xml:space="preserve">Upon death, the estate retains all unsold tokens, which can be sold on the marketplace or used to facilitate property sale with dramatically reduced friction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Feature</w:t>
            </w:r>
          </w:p>
        </w:tc>
        <w:tc>
          <w:tcPr>
            <w:tcW w:type="dxa" w:w="312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Reverse Mortgage</w:t>
            </w:r>
          </w:p>
        </w:tc>
        <w:tc>
          <w:tcPr>
            <w:tcW w:type="dxa" w:w="312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HomeToken</w:t>
            </w:r>
          </w:p>
        </w:tc>
      </w:tr>
      <w:tr>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Owner retains title</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Yes</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Yes</w:t>
            </w:r>
          </w:p>
        </w:tc>
      </w:tr>
      <w:tr>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Interest accrues</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Yes — compounds</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No</w:t>
            </w:r>
          </w:p>
        </w:tc>
      </w:tr>
      <w:tr>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Mandatory insurance</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Yes (MIP)</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No</w:t>
            </w:r>
          </w:p>
        </w:tc>
      </w:tr>
      <w:tr>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Homeowner controls pace</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No</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Yes</w:t>
            </w:r>
          </w:p>
        </w:tc>
      </w:tr>
      <w:tr>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Estate retains residual equity</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Often little/none</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Yes — all unsold tokens</w:t>
            </w:r>
          </w:p>
        </w:tc>
      </w:tr>
      <w:tr>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Upfront fees</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$6,000+</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Sub-1% of equity</w:t>
            </w:r>
          </w:p>
        </w:tc>
      </w:tr>
      <w:tr>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Regulatory oversight</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CFPB / HUD</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SEC + State</w:t>
            </w:r>
          </w:p>
        </w:tc>
      </w:tr>
    </w:tbl>
    <w:p>
      <w:pPr>
        <w:spacing w:after="120" w:before="0"/>
      </w:pPr>
      <w:r>
        <w:t xml:space="preserve"/>
      </w:r>
    </w:p>
    <w:p>
      <w:pPr>
        <w:pStyle w:val="Heading2"/>
        <w:spacing w:after="80" w:before="280"/>
      </w:pPr>
      <w:r>
        <w:rPr>
          <w:rFonts w:ascii="Arial" w:cs="Arial" w:eastAsia="Arial" w:hAnsi="Arial"/>
          <w:b/>
          <w:bCs/>
          <w:color w:val="4A6FA5"/>
          <w:sz w:val="26"/>
          <w:szCs w:val="26"/>
        </w:rPr>
        <w:t xml:space="preserve">3.4 Use Case 3 — Marketplace (Broker Replacement)</w:t>
      </w:r>
    </w:p>
    <w:p>
      <w:pPr>
        <w:spacing w:after="100" w:before="60"/>
      </w:pPr>
      <w:r>
        <w:rPr>
          <w:rFonts w:ascii="Arial" w:cs="Arial" w:eastAsia="Arial" w:hAnsi="Arial"/>
          <w:color w:val="1A1A1A"/>
          <w:sz w:val="22"/>
          <w:szCs w:val="22"/>
        </w:rPr>
        <w:t xml:space="preserve">The HomeToken P2P marketplace enables fractional and whole-property liquidity with dramatically reduced transaction costs. When a homeowner is ready to sell their property, the tokenized structure allows:</w:t>
      </w:r>
    </w:p>
    <w:p>
      <w:pPr>
        <w:pStyle w:val="ListParagraph"/>
        <w:numPr>
          <w:ilvl w:val="0"/>
          <w:numId w:val="2"/>
        </w:numPr>
        <w:spacing w:after="40" w:before="40"/>
      </w:pPr>
      <w:r>
        <w:rPr>
          <w:rFonts w:ascii="Arial" w:cs="Arial" w:eastAsia="Arial" w:hAnsi="Arial"/>
          <w:color w:val="1A1A1A"/>
          <w:sz w:val="22"/>
          <w:szCs w:val="22"/>
        </w:rPr>
        <w:t xml:space="preserve">Fractional token sales to accredited investors seeking residential real estate exposure</w:t>
      </w:r>
    </w:p>
    <w:p>
      <w:pPr>
        <w:pStyle w:val="ListParagraph"/>
        <w:numPr>
          <w:ilvl w:val="0"/>
          <w:numId w:val="2"/>
        </w:numPr>
        <w:spacing w:after="40" w:before="40"/>
      </w:pPr>
      <w:r>
        <w:rPr>
          <w:rFonts w:ascii="Arial" w:cs="Arial" w:eastAsia="Arial" w:hAnsi="Arial"/>
          <w:color w:val="1A1A1A"/>
          <w:sz w:val="22"/>
          <w:szCs w:val="22"/>
        </w:rPr>
        <w:t xml:space="preserve">Whole-property sale facilitated through token transfer at a platform fee targeting 1–2% versus the standard 5–6% broker commission</w:t>
      </w:r>
    </w:p>
    <w:p>
      <w:pPr>
        <w:pStyle w:val="ListParagraph"/>
        <w:numPr>
          <w:ilvl w:val="0"/>
          <w:numId w:val="2"/>
        </w:numPr>
        <w:spacing w:after="40" w:before="40"/>
      </w:pPr>
      <w:r>
        <w:rPr>
          <w:rFonts w:ascii="Arial" w:cs="Arial" w:eastAsia="Arial" w:hAnsi="Arial"/>
          <w:color w:val="1A1A1A"/>
          <w:sz w:val="22"/>
          <w:szCs w:val="22"/>
        </w:rPr>
        <w:t xml:space="preserve">Estate settlement: heirs can sell tokens quickly on the marketplace without listing a property, staging, or navigating a traditional sale timeline</w:t>
      </w:r>
    </w:p>
    <w:p>
      <w:pPr>
        <w:spacing w:after="120" w:before="0"/>
      </w:pPr>
      <w:r>
        <w:t xml:space="preserve"/>
      </w:r>
    </w:p>
    <w:tbl>
      <w:tblPr>
        <w:tblW w:type="dxa" w:w="9360"/>
        <w:tblBorders>
          <w:top w:val="single" w:color="C9A84C" w:sz="1"/>
          <w:left w:val="single" w:color="C9A84C" w:sz="20"/>
          <w:bottom w:val="single" w:color="C9A84C" w:sz="1"/>
          <w:right w:val="single" w:color="C9A84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4F7" w:val="clear"/>
            <w:tcMar>
              <w:top w:type="dxa" w:w="180"/>
              <w:left w:type="dxa" w:w="240"/>
              <w:bottom w:type="dxa" w:w="180"/>
              <w:right w:type="dxa" w:w="240"/>
            </w:tcMar>
          </w:tcPr>
          <w:p>
            <w:pPr>
              <w:spacing w:after="60" w:before="0"/>
            </w:pPr>
            <w:r>
              <w:rPr>
                <w:rFonts w:ascii="Arial" w:cs="Arial" w:eastAsia="Arial" w:hAnsi="Arial"/>
                <w:b/>
                <w:bCs/>
                <w:color w:val="C9A84C"/>
                <w:sz w:val="20"/>
                <w:szCs w:val="20"/>
              </w:rPr>
              <w:t xml:space="preserve">Fee Comparison — $1.5M Jackson Hole Property</w:t>
            </w:r>
          </w:p>
          <w:p>
            <w:pPr>
              <w:spacing w:after="0" w:before="0"/>
            </w:pPr>
            <w:r>
              <w:rPr>
                <w:rFonts w:ascii="Arial" w:cs="Arial" w:eastAsia="Arial" w:hAnsi="Arial"/>
                <w:color w:val="1A1A1A"/>
                <w:sz w:val="21"/>
                <w:szCs w:val="21"/>
              </w:rPr>
              <w:t xml:space="preserve">Traditional brokerage at 5.5%: $82,500 in commissions. HomeToken marketplace at 1.5%: $22,500. Net savings to homeowner or estate: $60,000 on a single transaction.</w:t>
            </w:r>
          </w:p>
        </w:tc>
      </w:tr>
    </w:tbl>
    <w:p>
      <w:pPr>
        <w:pBdr>
          <w:bottom w:val="single" w:color="D0D7E2" w:sz="4" w:space="1"/>
        </w:pBdr>
        <w:spacing w:after="160" w:before="160"/>
      </w:pPr>
      <w:r>
        <w:t xml:space="preserve"/>
      </w:r>
    </w:p>
    <w:p>
      <w:pPr>
        <w:pStyle w:val="Heading1"/>
        <w:pBdr>
          <w:bottom w:val="single" w:color="C9A84C" w:sz="8" w:space="6"/>
        </w:pBdr>
        <w:spacing w:after="120" w:before="360"/>
      </w:pPr>
      <w:r>
        <w:rPr>
          <w:rFonts w:ascii="Arial" w:cs="Arial" w:eastAsia="Arial" w:hAnsi="Arial"/>
          <w:b/>
          <w:bCs/>
          <w:color w:val="1B2A4A"/>
          <w:sz w:val="32"/>
          <w:szCs w:val="32"/>
        </w:rPr>
        <w:t xml:space="preserve">4. Market Strategy</w:t>
      </w:r>
    </w:p>
    <w:p>
      <w:pPr>
        <w:pStyle w:val="Heading2"/>
        <w:spacing w:after="80" w:before="280"/>
      </w:pPr>
      <w:r>
        <w:rPr>
          <w:rFonts w:ascii="Arial" w:cs="Arial" w:eastAsia="Arial" w:hAnsi="Arial"/>
          <w:b/>
          <w:bCs/>
          <w:color w:val="4A6FA5"/>
          <w:sz w:val="26"/>
          <w:szCs w:val="26"/>
        </w:rPr>
        <w:t xml:space="preserve">4.1 Launch Market: Jackson Hole, Wyoming</w:t>
      </w:r>
    </w:p>
    <w:p>
      <w:pPr>
        <w:spacing w:after="100" w:before="60"/>
      </w:pPr>
      <w:r>
        <w:rPr>
          <w:rFonts w:ascii="Arial" w:cs="Arial" w:eastAsia="Arial" w:hAnsi="Arial"/>
          <w:color w:val="1A1A1A"/>
          <w:sz w:val="22"/>
          <w:szCs w:val="22"/>
        </w:rPr>
        <w:t xml:space="preserve">Wyoming is the most structurally favorable U.S. jurisdiction for the HomeToken launch for three reasons: it has the most developed blockchain-asset legal framework of any U.S. state, its SPDI (Special Purpose Depository Institution) charter enables crypto-native banking, and its Digital Asset Management Act provides explicit statutory recognition of tokenized asset ownership.</w:t>
      </w:r>
    </w:p>
    <w:p>
      <w:pPr>
        <w:spacing w:after="120" w:before="0"/>
      </w:pPr>
      <w:r>
        <w:t xml:space="preserve"/>
      </w:r>
    </w:p>
    <w:p>
      <w:pPr>
        <w:spacing w:after="100" w:before="60"/>
      </w:pPr>
      <w:r>
        <w:rPr>
          <w:rFonts w:ascii="Arial" w:cs="Arial" w:eastAsia="Arial" w:hAnsi="Arial"/>
          <w:color w:val="1A1A1A"/>
          <w:sz w:val="22"/>
          <w:szCs w:val="22"/>
        </w:rPr>
        <w:t xml:space="preserve">Jackson Hole specifically offers a high-density concentration of high-value properties whose owners are exactly the target demographic: affluent, financially sophisticated homeowners with significant trapped equity who are receptive to alternatives to traditional financial products.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Jackson Hole Market Characteristic</w:t>
            </w:r>
          </w:p>
        </w:tc>
        <w:tc>
          <w:tcPr>
            <w:tcW w:type="dxa" w:w="468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HomeToken Relevance</w:t>
            </w:r>
          </w:p>
        </w:tc>
      </w:tr>
      <w:tr>
        <w:tc>
          <w:tcPr>
            <w:tcW w:type="dxa" w:w="468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Median home value $3M+</w:t>
            </w:r>
          </w:p>
        </w:tc>
        <w:tc>
          <w:tcPr>
            <w:tcW w:type="dxa" w:w="468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Large equity pools generate meaningful yield</w:t>
            </w:r>
          </w:p>
        </w:tc>
      </w:tr>
      <w:tr>
        <w:tc>
          <w:tcPr>
            <w:tcW w:type="dxa" w:w="468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High percentage of second homes</w:t>
            </w:r>
          </w:p>
        </w:tc>
        <w:tc>
          <w:tcPr>
            <w:tcW w:type="dxa" w:w="468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Owners often motivated to generate yield from idle assets</w:t>
            </w:r>
          </w:p>
        </w:tc>
      </w:tr>
      <w:tr>
        <w:tc>
          <w:tcPr>
            <w:tcW w:type="dxa" w:w="468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Affluent, financially sophisticated owners</w:t>
            </w:r>
          </w:p>
        </w:tc>
        <w:tc>
          <w:tcPr>
            <w:tcW w:type="dxa" w:w="468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Accredited investor qualification likely; lower education burden</w:t>
            </w:r>
          </w:p>
        </w:tc>
      </w:tr>
      <w:tr>
        <w:tc>
          <w:tcPr>
            <w:tcW w:type="dxa" w:w="468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Wyoming legal framework</w:t>
            </w:r>
          </w:p>
        </w:tc>
        <w:tc>
          <w:tcPr>
            <w:tcW w:type="dxa" w:w="468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Most favorable tokenized asset jurisdiction in U.S.</w:t>
            </w:r>
          </w:p>
        </w:tc>
      </w:tr>
      <w:tr>
        <w:tc>
          <w:tcPr>
            <w:tcW w:type="dxa" w:w="468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Low property turnover</w:t>
            </w:r>
          </w:p>
        </w:tc>
        <w:tc>
          <w:tcPr>
            <w:tcW w:type="dxa" w:w="468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Owners seeking yield, not exit — ideal for Use Case 1</w:t>
            </w:r>
          </w:p>
        </w:tc>
      </w:tr>
    </w:tbl>
    <w:p>
      <w:pPr>
        <w:spacing w:after="120" w:before="0"/>
      </w:pPr>
      <w:r>
        <w:t xml:space="preserve"/>
      </w:r>
    </w:p>
    <w:p>
      <w:pPr>
        <w:pStyle w:val="Heading2"/>
        <w:spacing w:after="80" w:before="280"/>
      </w:pPr>
      <w:r>
        <w:rPr>
          <w:rFonts w:ascii="Arial" w:cs="Arial" w:eastAsia="Arial" w:hAnsi="Arial"/>
          <w:b/>
          <w:bCs/>
          <w:color w:val="4A6FA5"/>
          <w:sz w:val="26"/>
          <w:szCs w:val="26"/>
        </w:rPr>
        <w:t xml:space="preserve">4.2 Expansion Roadmap</w:t>
      </w:r>
    </w:p>
    <w:p>
      <w:pPr>
        <w:pStyle w:val="ListParagraph"/>
        <w:numPr>
          <w:ilvl w:val="0"/>
          <w:numId w:val="2"/>
        </w:numPr>
        <w:spacing w:after="40" w:before="40"/>
      </w:pPr>
      <w:r>
        <w:rPr>
          <w:rFonts w:ascii="Arial" w:cs="Arial" w:eastAsia="Arial" w:hAnsi="Arial"/>
          <w:color w:val="1A1A1A"/>
          <w:sz w:val="22"/>
          <w:szCs w:val="22"/>
        </w:rPr>
        <w:t xml:space="preserve">Phase 1 (Year 1): Wyoming — Jackson Hole focus, accredited investors only, Reg D offering</w:t>
      </w:r>
    </w:p>
    <w:p>
      <w:pPr>
        <w:pStyle w:val="ListParagraph"/>
        <w:numPr>
          <w:ilvl w:val="0"/>
          <w:numId w:val="2"/>
        </w:numPr>
        <w:spacing w:after="40" w:before="40"/>
      </w:pPr>
      <w:r>
        <w:rPr>
          <w:rFonts w:ascii="Arial" w:cs="Arial" w:eastAsia="Arial" w:hAnsi="Arial"/>
          <w:color w:val="1A1A1A"/>
          <w:sz w:val="22"/>
          <w:szCs w:val="22"/>
        </w:rPr>
        <w:t xml:space="preserve">Phase 2 (Year 2–3): Nevada, Texas, Florida — expand to high-value markets with tokenization-friendly regulatory environments</w:t>
      </w:r>
    </w:p>
    <w:p>
      <w:pPr>
        <w:pStyle w:val="ListParagraph"/>
        <w:numPr>
          <w:ilvl w:val="0"/>
          <w:numId w:val="2"/>
        </w:numPr>
        <w:spacing w:after="40" w:before="40"/>
      </w:pPr>
      <w:r>
        <w:rPr>
          <w:rFonts w:ascii="Arial" w:cs="Arial" w:eastAsia="Arial" w:hAnsi="Arial"/>
          <w:color w:val="1A1A1A"/>
          <w:sz w:val="22"/>
          <w:szCs w:val="22"/>
        </w:rPr>
        <w:t xml:space="preserve">Phase 3 (Year 3–5): National rollout, pursue Reg A+ or alternative broker-dealer structure to open to non-accredited investors</w:t>
      </w:r>
    </w:p>
    <w:p>
      <w:pPr>
        <w:pStyle w:val="ListParagraph"/>
        <w:numPr>
          <w:ilvl w:val="0"/>
          <w:numId w:val="2"/>
        </w:numPr>
        <w:spacing w:after="40" w:before="40"/>
      </w:pPr>
      <w:r>
        <w:rPr>
          <w:rFonts w:ascii="Arial" w:cs="Arial" w:eastAsia="Arial" w:hAnsi="Arial"/>
          <w:color w:val="1A1A1A"/>
          <w:sz w:val="22"/>
          <w:szCs w:val="22"/>
        </w:rPr>
        <w:t xml:space="preserve">Phase 4 (Year 5+): International expansion — GCC, Southeast Asia, markets with high-value residential concentration and appetite for alternative structures</w:t>
      </w:r>
    </w:p>
    <w:p>
      <w:pPr>
        <w:spacing w:after="120" w:before="0"/>
      </w:pPr>
      <w:r>
        <w:t xml:space="preserve"/>
      </w:r>
    </w:p>
    <w:p>
      <w:pPr>
        <w:pStyle w:val="Heading2"/>
        <w:spacing w:after="80" w:before="280"/>
      </w:pPr>
      <w:r>
        <w:rPr>
          <w:rFonts w:ascii="Arial" w:cs="Arial" w:eastAsia="Arial" w:hAnsi="Arial"/>
          <w:b/>
          <w:bCs/>
          <w:color w:val="4A6FA5"/>
          <w:sz w:val="26"/>
          <w:szCs w:val="26"/>
        </w:rPr>
        <w:t xml:space="preserve">4.3 Target Customer Segments</w:t>
      </w:r>
    </w:p>
    <w:p>
      <w:pPr>
        <w:pStyle w:val="Heading3"/>
        <w:spacing w:after="60" w:before="200"/>
      </w:pPr>
      <w:r>
        <w:rPr>
          <w:rFonts w:ascii="Arial" w:cs="Arial" w:eastAsia="Arial" w:hAnsi="Arial"/>
          <w:b/>
          <w:bCs/>
          <w:color w:val="1B2A4A"/>
          <w:sz w:val="22"/>
          <w:szCs w:val="22"/>
        </w:rPr>
        <w:t xml:space="preserve">Primary: Equity-Rich, Cash-Flow-Seeking Homeowners</w:t>
      </w:r>
    </w:p>
    <w:p>
      <w:pPr>
        <w:spacing w:after="100" w:before="60"/>
      </w:pPr>
      <w:r>
        <w:rPr>
          <w:rFonts w:ascii="Arial" w:cs="Arial" w:eastAsia="Arial" w:hAnsi="Arial"/>
          <w:color w:val="1A1A1A"/>
          <w:sz w:val="22"/>
          <w:szCs w:val="22"/>
        </w:rPr>
        <w:t xml:space="preserve">Homeowners aged 45–70 with significant equity and a desire to put that equity to work without the burden of debt service. Particularly relevant in markets where property values have appreciated dramatically, creating significant paper wealth that cannot be accessed without selling or borrowing.</w:t>
      </w:r>
    </w:p>
    <w:p>
      <w:pPr>
        <w:pStyle w:val="Heading3"/>
        <w:spacing w:after="60" w:before="200"/>
      </w:pPr>
      <w:r>
        <w:rPr>
          <w:rFonts w:ascii="Arial" w:cs="Arial" w:eastAsia="Arial" w:hAnsi="Arial"/>
          <w:b/>
          <w:bCs/>
          <w:color w:val="1B2A4A"/>
          <w:sz w:val="22"/>
          <w:szCs w:val="22"/>
        </w:rPr>
        <w:t xml:space="preserve">Secondary: Seniors Seeking Reverse Mortgage Alternative</w:t>
      </w:r>
    </w:p>
    <w:p>
      <w:pPr>
        <w:spacing w:after="100" w:before="60"/>
      </w:pPr>
      <w:r>
        <w:rPr>
          <w:rFonts w:ascii="Arial" w:cs="Arial" w:eastAsia="Arial" w:hAnsi="Arial"/>
          <w:color w:val="1A1A1A"/>
          <w:sz w:val="22"/>
          <w:szCs w:val="22"/>
        </w:rPr>
        <w:t xml:space="preserve">Homeowners aged 62+ who are considering or have been pitched reverse mortgages. This segment is underserved by the existing financial system and has been subject to predatory product design. HomeToken's controlled token-sale model is structurally superior in every dimension that matters to this customer.</w:t>
      </w:r>
    </w:p>
    <w:p>
      <w:pPr>
        <w:pStyle w:val="Heading3"/>
        <w:spacing w:after="60" w:before="200"/>
      </w:pPr>
      <w:r>
        <w:rPr>
          <w:rFonts w:ascii="Arial" w:cs="Arial" w:eastAsia="Arial" w:hAnsi="Arial"/>
          <w:b/>
          <w:bCs/>
          <w:color w:val="1B2A4A"/>
          <w:sz w:val="22"/>
          <w:szCs w:val="22"/>
        </w:rPr>
        <w:t xml:space="preserve">Tertiary: Estate Executors and Heirs</w:t>
      </w:r>
    </w:p>
    <w:p>
      <w:pPr>
        <w:spacing w:after="100" w:before="60"/>
      </w:pPr>
      <w:r>
        <w:rPr>
          <w:rFonts w:ascii="Arial" w:cs="Arial" w:eastAsia="Arial" w:hAnsi="Arial"/>
          <w:color w:val="1A1A1A"/>
          <w:sz w:val="22"/>
          <w:szCs w:val="22"/>
        </w:rPr>
        <w:t xml:space="preserve">Estates with tokenized homes on platform gain immediate access to a liquid marketplace, avoiding the cost and time burden of traditional property sales during emotionally difficult periods.</w:t>
      </w:r>
    </w:p>
    <w:p>
      <w:pPr>
        <w:pBdr>
          <w:bottom w:val="single" w:color="D0D7E2" w:sz="4" w:space="1"/>
        </w:pBdr>
        <w:spacing w:after="160" w:before="160"/>
      </w:pPr>
      <w:r>
        <w:t xml:space="preserve"/>
      </w:r>
    </w:p>
    <w:p>
      <w:pPr>
        <w:pStyle w:val="Heading1"/>
        <w:pBdr>
          <w:bottom w:val="single" w:color="C9A84C" w:sz="8" w:space="6"/>
        </w:pBdr>
        <w:spacing w:after="120" w:before="360"/>
      </w:pPr>
      <w:r>
        <w:rPr>
          <w:rFonts w:ascii="Arial" w:cs="Arial" w:eastAsia="Arial" w:hAnsi="Arial"/>
          <w:b/>
          <w:bCs/>
          <w:color w:val="1B2A4A"/>
          <w:sz w:val="32"/>
          <w:szCs w:val="32"/>
        </w:rPr>
        <w:t xml:space="preserve">5. Revenue Model &amp; Financial Structure</w:t>
      </w:r>
    </w:p>
    <w:p>
      <w:pPr>
        <w:pStyle w:val="Heading2"/>
        <w:spacing w:after="80" w:before="280"/>
      </w:pPr>
      <w:r>
        <w:rPr>
          <w:rFonts w:ascii="Arial" w:cs="Arial" w:eastAsia="Arial" w:hAnsi="Arial"/>
          <w:b/>
          <w:bCs/>
          <w:color w:val="4A6FA5"/>
          <w:sz w:val="26"/>
          <w:szCs w:val="26"/>
        </w:rPr>
        <w:t xml:space="preserve">5.1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Revenue Stream</w:t>
            </w:r>
          </w:p>
        </w:tc>
        <w:tc>
          <w:tcPr>
            <w:tcW w:type="dxa" w:w="312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Fee Structure</w:t>
            </w:r>
          </w:p>
        </w:tc>
        <w:tc>
          <w:tcPr>
            <w:tcW w:type="dxa" w:w="312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Tokenization fee</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0.25–0.50% of property equity value</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One-time at onboarding</w:t>
            </w:r>
          </w:p>
        </w:tc>
      </w:tr>
      <w:tr>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Fund management fee</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1.0–1.5% AUM annually</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On deployed capital only</w:t>
            </w:r>
          </w:p>
        </w:tc>
      </w:tr>
      <w:tr>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Fund performance fee</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10–15% of returns above hurdle</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Hurdle rate TBD; rewards alignment</w:t>
            </w:r>
          </w:p>
        </w:tc>
      </w:tr>
      <w:tr>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Marketplace transaction fee</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1.0–1.5% of token sale value</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Buyer + seller split</w:t>
            </w:r>
          </w:p>
        </w:tc>
      </w:tr>
      <w:tr>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AVM refresh fee</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Nominal / subscription</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Annual revaluation service</w:t>
            </w:r>
          </w:p>
        </w:tc>
      </w:tr>
      <w:tr>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Estate settlement service</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0.5% of estate token value</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Expedited processing and counsel referral</w:t>
            </w:r>
          </w:p>
        </w:tc>
      </w:tr>
    </w:tbl>
    <w:p>
      <w:pPr>
        <w:spacing w:after="120" w:before="0"/>
      </w:pPr>
      <w:r>
        <w:t xml:space="preserve"/>
      </w:r>
    </w:p>
    <w:p>
      <w:pPr>
        <w:pStyle w:val="Heading2"/>
        <w:spacing w:after="80" w:before="280"/>
      </w:pPr>
      <w:r>
        <w:rPr>
          <w:rFonts w:ascii="Arial" w:cs="Arial" w:eastAsia="Arial" w:hAnsi="Arial"/>
          <w:b/>
          <w:bCs/>
          <w:color w:val="4A6FA5"/>
          <w:sz w:val="26"/>
          <w:szCs w:val="26"/>
        </w:rPr>
        <w:t xml:space="preserve">5.2 Unit Economics — Illustrative Example</w:t>
      </w:r>
    </w:p>
    <w:p>
      <w:pPr>
        <w:spacing w:after="100" w:before="60"/>
      </w:pPr>
      <w:r>
        <w:rPr>
          <w:rFonts w:ascii="Arial" w:cs="Arial" w:eastAsia="Arial" w:hAnsi="Arial"/>
          <w:color w:val="1A1A1A"/>
          <w:sz w:val="22"/>
          <w:szCs w:val="22"/>
        </w:rPr>
        <w:t xml:space="preserve">Assumptions: $2M property, 60% LTV mortgage ($1.2M balance), $800K net equity tokenized, 80% of tokens pledged to fund, fund gross return 20%, platform performance fee 12%.</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Item</w:t>
            </w:r>
          </w:p>
        </w:tc>
        <w:tc>
          <w:tcPr>
            <w:tcW w:type="dxa" w:w="468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Amount</w:t>
            </w:r>
          </w:p>
        </w:tc>
      </w:tr>
      <w:tr>
        <w:tc>
          <w:tcPr>
            <w:tcW w:type="dxa" w:w="468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Tokenization fee (0.35% × $800K)</w:t>
            </w:r>
          </w:p>
        </w:tc>
        <w:tc>
          <w:tcPr>
            <w:tcW w:type="dxa" w:w="468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$2,800</w:t>
            </w:r>
          </w:p>
        </w:tc>
      </w:tr>
      <w:tr>
        <w:tc>
          <w:tcPr>
            <w:tcW w:type="dxa" w:w="468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Capital deployed to fund (80%)</w:t>
            </w:r>
          </w:p>
        </w:tc>
        <w:tc>
          <w:tcPr>
            <w:tcW w:type="dxa" w:w="468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$640,000</w:t>
            </w:r>
          </w:p>
        </w:tc>
      </w:tr>
      <w:tr>
        <w:tc>
          <w:tcPr>
            <w:tcW w:type="dxa" w:w="468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Gross fund return (20%)</w:t>
            </w:r>
          </w:p>
        </w:tc>
        <w:tc>
          <w:tcPr>
            <w:tcW w:type="dxa" w:w="468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$128,000</w:t>
            </w:r>
          </w:p>
        </w:tc>
      </w:tr>
      <w:tr>
        <w:tc>
          <w:tcPr>
            <w:tcW w:type="dxa" w:w="468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Management fee (1.25% × $640K)</w:t>
            </w:r>
          </w:p>
        </w:tc>
        <w:tc>
          <w:tcPr>
            <w:tcW w:type="dxa" w:w="468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$8,000</w:t>
            </w:r>
          </w:p>
        </w:tc>
      </w:tr>
      <w:tr>
        <w:tc>
          <w:tcPr>
            <w:tcW w:type="dxa" w:w="468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Performance fee (12% × $128K)</w:t>
            </w:r>
          </w:p>
        </w:tc>
        <w:tc>
          <w:tcPr>
            <w:tcW w:type="dxa" w:w="468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$15,360</w:t>
            </w:r>
          </w:p>
        </w:tc>
      </w:tr>
      <w:tr>
        <w:tc>
          <w:tcPr>
            <w:tcW w:type="dxa" w:w="468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Total platform revenue (Year 1)</w:t>
            </w:r>
          </w:p>
        </w:tc>
        <w:tc>
          <w:tcPr>
            <w:tcW w:type="dxa" w:w="468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$26,160</w:t>
            </w:r>
          </w:p>
        </w:tc>
      </w:tr>
      <w:tr>
        <w:tc>
          <w:tcPr>
            <w:tcW w:type="dxa" w:w="468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Net return to homeowner</w:t>
            </w:r>
          </w:p>
        </w:tc>
        <w:tc>
          <w:tcPr>
            <w:tcW w:type="dxa" w:w="468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$104,640 (13.1% on equity)</w:t>
            </w:r>
          </w:p>
        </w:tc>
      </w:tr>
    </w:tbl>
    <w:p>
      <w:pPr>
        <w:spacing w:after="120" w:before="0"/>
      </w:pPr>
      <w:r>
        <w:t xml:space="preserve"/>
      </w:r>
    </w:p>
    <w:tbl>
      <w:tblPr>
        <w:tblW w:type="dxa" w:w="9360"/>
        <w:tblBorders>
          <w:top w:val="single" w:color="C9A84C" w:sz="1"/>
          <w:left w:val="single" w:color="C9A84C" w:sz="20"/>
          <w:bottom w:val="single" w:color="C9A84C" w:sz="1"/>
          <w:right w:val="single" w:color="C9A84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4F7" w:val="clear"/>
            <w:tcMar>
              <w:top w:type="dxa" w:w="180"/>
              <w:left w:type="dxa" w:w="240"/>
              <w:bottom w:type="dxa" w:w="180"/>
              <w:right w:type="dxa" w:w="240"/>
            </w:tcMar>
          </w:tcPr>
          <w:p>
            <w:pPr>
              <w:spacing w:after="60" w:before="0"/>
            </w:pPr>
            <w:r>
              <w:rPr>
                <w:rFonts w:ascii="Arial" w:cs="Arial" w:eastAsia="Arial" w:hAnsi="Arial"/>
                <w:b/>
                <w:bCs/>
                <w:color w:val="C9A84C"/>
                <w:sz w:val="20"/>
                <w:szCs w:val="20"/>
              </w:rPr>
              <w:t xml:space="preserve">Scalability Note</w:t>
            </w:r>
          </w:p>
          <w:p>
            <w:pPr>
              <w:spacing w:after="0" w:before="0"/>
            </w:pPr>
            <w:r>
              <w:rPr>
                <w:rFonts w:ascii="Arial" w:cs="Arial" w:eastAsia="Arial" w:hAnsi="Arial"/>
                <w:color w:val="1A1A1A"/>
                <w:sz w:val="21"/>
                <w:szCs w:val="21"/>
              </w:rPr>
              <w:t xml:space="preserve">At 500 homes with average equity of $800K deployed, platform AUM reaches $400M. At 1.25% management fee + 12% performance fee on 20% gross returns, annual platform revenue exceeds $15M — before marketplace and tokenization fees.</w:t>
            </w:r>
          </w:p>
        </w:tc>
      </w:tr>
    </w:tbl>
    <w:p>
      <w:pPr>
        <w:pBdr>
          <w:bottom w:val="single" w:color="D0D7E2" w:sz="4" w:space="1"/>
        </w:pBdr>
        <w:spacing w:after="160" w:before="160"/>
      </w:pPr>
      <w:r>
        <w:t xml:space="preserve"/>
      </w:r>
    </w:p>
    <w:p>
      <w:pPr>
        <w:pStyle w:val="Heading1"/>
        <w:pBdr>
          <w:bottom w:val="single" w:color="C9A84C" w:sz="8" w:space="6"/>
        </w:pBdr>
        <w:spacing w:after="120" w:before="360"/>
      </w:pPr>
      <w:r>
        <w:rPr>
          <w:rFonts w:ascii="Arial" w:cs="Arial" w:eastAsia="Arial" w:hAnsi="Arial"/>
          <w:b/>
          <w:bCs/>
          <w:color w:val="1B2A4A"/>
          <w:sz w:val="32"/>
          <w:szCs w:val="32"/>
        </w:rPr>
        <w:t xml:space="preserve">6. Technology Architecture</w:t>
      </w:r>
    </w:p>
    <w:p>
      <w:pPr>
        <w:pStyle w:val="Heading2"/>
        <w:spacing w:after="80" w:before="280"/>
      </w:pPr>
      <w:r>
        <w:rPr>
          <w:rFonts w:ascii="Arial" w:cs="Arial" w:eastAsia="Arial" w:hAnsi="Arial"/>
          <w:b/>
          <w:bCs/>
          <w:color w:val="4A6FA5"/>
          <w:sz w:val="26"/>
          <w:szCs w:val="26"/>
        </w:rPr>
        <w:t xml:space="preserve">6.1 Tokenization Infrastructure</w:t>
      </w:r>
    </w:p>
    <w:p>
      <w:pPr>
        <w:pStyle w:val="ListParagraph"/>
        <w:numPr>
          <w:ilvl w:val="0"/>
          <w:numId w:val="2"/>
        </w:numPr>
        <w:spacing w:after="40" w:before="40"/>
      </w:pPr>
      <w:r>
        <w:rPr>
          <w:rFonts w:ascii="Arial" w:cs="Arial" w:eastAsia="Arial" w:hAnsi="Arial"/>
          <w:color w:val="1A1A1A"/>
          <w:sz w:val="22"/>
          <w:szCs w:val="22"/>
        </w:rPr>
        <w:t xml:space="preserve">Smart contracts on an EVM-compatible chain (Ethereum L2 or purpose-built chain for cost efficiency)</w:t>
      </w:r>
    </w:p>
    <w:p>
      <w:pPr>
        <w:pStyle w:val="ListParagraph"/>
        <w:numPr>
          <w:ilvl w:val="0"/>
          <w:numId w:val="2"/>
        </w:numPr>
        <w:spacing w:after="40" w:before="40"/>
      </w:pPr>
      <w:r>
        <w:rPr>
          <w:rFonts w:ascii="Arial" w:cs="Arial" w:eastAsia="Arial" w:hAnsi="Arial"/>
          <w:color w:val="1A1A1A"/>
          <w:sz w:val="22"/>
          <w:szCs w:val="22"/>
        </w:rPr>
        <w:t xml:space="preserve">ERC-1400 or ERC-3643 security token standard to enable compliance controls baked into the token itself</w:t>
      </w:r>
    </w:p>
    <w:p>
      <w:pPr>
        <w:pStyle w:val="ListParagraph"/>
        <w:numPr>
          <w:ilvl w:val="0"/>
          <w:numId w:val="2"/>
        </w:numPr>
        <w:spacing w:after="40" w:before="40"/>
      </w:pPr>
      <w:r>
        <w:rPr>
          <w:rFonts w:ascii="Arial" w:cs="Arial" w:eastAsia="Arial" w:hAnsi="Arial"/>
          <w:color w:val="1A1A1A"/>
          <w:sz w:val="22"/>
          <w:szCs w:val="22"/>
        </w:rPr>
        <w:t xml:space="preserve">Whitelist-based transfer restrictions: tokens can only transfer to KYC/AML-verified wallets</w:t>
      </w:r>
    </w:p>
    <w:p>
      <w:pPr>
        <w:pStyle w:val="ListParagraph"/>
        <w:numPr>
          <w:ilvl w:val="0"/>
          <w:numId w:val="2"/>
        </w:numPr>
        <w:spacing w:after="40" w:before="40"/>
      </w:pPr>
      <w:r>
        <w:rPr>
          <w:rFonts w:ascii="Arial" w:cs="Arial" w:eastAsia="Arial" w:hAnsi="Arial"/>
          <w:color w:val="1A1A1A"/>
          <w:sz w:val="22"/>
          <w:szCs w:val="22"/>
        </w:rPr>
        <w:t xml:space="preserve">Lien registry integration: token metadata reflects mortgage balance and lien priority in real time</w:t>
      </w:r>
    </w:p>
    <w:p>
      <w:pPr>
        <w:spacing w:after="120" w:before="0"/>
      </w:pPr>
      <w:r>
        <w:t xml:space="preserve"/>
      </w:r>
    </w:p>
    <w:p>
      <w:pPr>
        <w:pStyle w:val="Heading2"/>
        <w:spacing w:after="80" w:before="280"/>
      </w:pPr>
      <w:r>
        <w:rPr>
          <w:rFonts w:ascii="Arial" w:cs="Arial" w:eastAsia="Arial" w:hAnsi="Arial"/>
          <w:b/>
          <w:bCs/>
          <w:color w:val="4A6FA5"/>
          <w:sz w:val="26"/>
          <w:szCs w:val="26"/>
        </w:rPr>
        <w:t xml:space="preserve">6.2 Automated Valuation Model (AVM) Integration</w:t>
      </w:r>
    </w:p>
    <w:p>
      <w:pPr>
        <w:spacing w:after="100" w:before="60"/>
      </w:pPr>
      <w:r>
        <w:rPr>
          <w:rFonts w:ascii="Arial" w:cs="Arial" w:eastAsia="Arial" w:hAnsi="Arial"/>
          <w:color w:val="1A1A1A"/>
          <w:sz w:val="22"/>
          <w:szCs w:val="22"/>
        </w:rPr>
        <w:t xml:space="preserve">Continuous, credible property valuation is the platform's most critical technical dependency. HomeToken will integrate with institutional AVM providers (CoreLogic, Black Knight, or equivalent) with the following structure:</w:t>
      </w:r>
    </w:p>
    <w:p>
      <w:pPr>
        <w:pStyle w:val="ListParagraph"/>
        <w:numPr>
          <w:ilvl w:val="0"/>
          <w:numId w:val="2"/>
        </w:numPr>
        <w:spacing w:after="40" w:before="40"/>
      </w:pPr>
      <w:r>
        <w:rPr>
          <w:rFonts w:ascii="Arial" w:cs="Arial" w:eastAsia="Arial" w:hAnsi="Arial"/>
          <w:color w:val="1A1A1A"/>
          <w:sz w:val="22"/>
          <w:szCs w:val="22"/>
        </w:rPr>
        <w:t xml:space="preserve">Initial appraisal at onboarding: AVM + optional third-party appraisal for high-value properties</w:t>
      </w:r>
    </w:p>
    <w:p>
      <w:pPr>
        <w:pStyle w:val="ListParagraph"/>
        <w:numPr>
          <w:ilvl w:val="0"/>
          <w:numId w:val="2"/>
        </w:numPr>
        <w:spacing w:after="40" w:before="40"/>
      </w:pPr>
      <w:r>
        <w:rPr>
          <w:rFonts w:ascii="Arial" w:cs="Arial" w:eastAsia="Arial" w:hAnsi="Arial"/>
          <w:color w:val="1A1A1A"/>
          <w:sz w:val="22"/>
          <w:szCs w:val="22"/>
        </w:rPr>
        <w:t xml:space="preserve">Annual AVM refresh: triggers token quantity adjustment or revaluation event</w:t>
      </w:r>
    </w:p>
    <w:p>
      <w:pPr>
        <w:pStyle w:val="ListParagraph"/>
        <w:numPr>
          <w:ilvl w:val="0"/>
          <w:numId w:val="2"/>
        </w:numPr>
        <w:spacing w:after="40" w:before="40"/>
      </w:pPr>
      <w:r>
        <w:rPr>
          <w:rFonts w:ascii="Arial" w:cs="Arial" w:eastAsia="Arial" w:hAnsi="Arial"/>
          <w:color w:val="1A1A1A"/>
          <w:sz w:val="22"/>
          <w:szCs w:val="22"/>
        </w:rPr>
        <w:t xml:space="preserve">Market event triggers: significant local price movements trigger out-of-cycle revaluation</w:t>
      </w:r>
    </w:p>
    <w:p>
      <w:pPr>
        <w:pStyle w:val="ListParagraph"/>
        <w:numPr>
          <w:ilvl w:val="0"/>
          <w:numId w:val="2"/>
        </w:numPr>
        <w:spacing w:after="40" w:before="40"/>
      </w:pPr>
      <w:r>
        <w:rPr>
          <w:rFonts w:ascii="Arial" w:cs="Arial" w:eastAsia="Arial" w:hAnsi="Arial"/>
          <w:color w:val="1A1A1A"/>
          <w:sz w:val="22"/>
          <w:szCs w:val="22"/>
        </w:rPr>
        <w:t xml:space="preserve">Dispute mechanism: homeowner can request independent appraisal review</w:t>
      </w:r>
    </w:p>
    <w:p>
      <w:pPr>
        <w:spacing w:after="120" w:before="0"/>
      </w:pPr>
      <w:r>
        <w:t xml:space="preserve"/>
      </w:r>
    </w:p>
    <w:p>
      <w:pPr>
        <w:pStyle w:val="Heading2"/>
        <w:spacing w:after="80" w:before="280"/>
      </w:pPr>
      <w:r>
        <w:rPr>
          <w:rFonts w:ascii="Arial" w:cs="Arial" w:eastAsia="Arial" w:hAnsi="Arial"/>
          <w:b/>
          <w:bCs/>
          <w:color w:val="4A6FA5"/>
          <w:sz w:val="26"/>
          <w:szCs w:val="26"/>
        </w:rPr>
        <w:t xml:space="preserve">6.3 Identity, Title, and Compliance Layer</w:t>
      </w:r>
    </w:p>
    <w:p>
      <w:pPr>
        <w:pStyle w:val="ListParagraph"/>
        <w:numPr>
          <w:ilvl w:val="0"/>
          <w:numId w:val="2"/>
        </w:numPr>
        <w:spacing w:after="40" w:before="40"/>
      </w:pPr>
      <w:r>
        <w:rPr>
          <w:rFonts w:ascii="Arial" w:cs="Arial" w:eastAsia="Arial" w:hAnsi="Arial"/>
          <w:color w:val="1A1A1A"/>
          <w:sz w:val="22"/>
          <w:szCs w:val="22"/>
        </w:rPr>
        <w:t xml:space="preserve">KYC/AML via established provider (Persona, Jumio, or equivalent)</w:t>
      </w:r>
    </w:p>
    <w:p>
      <w:pPr>
        <w:pStyle w:val="ListParagraph"/>
        <w:numPr>
          <w:ilvl w:val="0"/>
          <w:numId w:val="2"/>
        </w:numPr>
        <w:spacing w:after="40" w:before="40"/>
      </w:pPr>
      <w:r>
        <w:rPr>
          <w:rFonts w:ascii="Arial" w:cs="Arial" w:eastAsia="Arial" w:hAnsi="Arial"/>
          <w:color w:val="1A1A1A"/>
          <w:sz w:val="22"/>
          <w:szCs w:val="22"/>
        </w:rPr>
        <w:t xml:space="preserve">Title verification through partnership with national title insurance provider</w:t>
      </w:r>
    </w:p>
    <w:p>
      <w:pPr>
        <w:pStyle w:val="ListParagraph"/>
        <w:numPr>
          <w:ilvl w:val="0"/>
          <w:numId w:val="2"/>
        </w:numPr>
        <w:spacing w:after="40" w:before="40"/>
      </w:pPr>
      <w:r>
        <w:rPr>
          <w:rFonts w:ascii="Arial" w:cs="Arial" w:eastAsia="Arial" w:hAnsi="Arial"/>
          <w:color w:val="1A1A1A"/>
          <w:sz w:val="22"/>
          <w:szCs w:val="22"/>
        </w:rPr>
        <w:t xml:space="preserve">Ongoing monitoring for liens, judgments, and title events</w:t>
      </w:r>
    </w:p>
    <w:p>
      <w:pPr>
        <w:pStyle w:val="ListParagraph"/>
        <w:numPr>
          <w:ilvl w:val="0"/>
          <w:numId w:val="2"/>
        </w:numPr>
        <w:spacing w:after="40" w:before="40"/>
      </w:pPr>
      <w:r>
        <w:rPr>
          <w:rFonts w:ascii="Arial" w:cs="Arial" w:eastAsia="Arial" w:hAnsi="Arial"/>
          <w:color w:val="1A1A1A"/>
          <w:sz w:val="22"/>
          <w:szCs w:val="22"/>
        </w:rPr>
        <w:t xml:space="preserve">Smart contract compliance hooks: token transfer blocked if title event detected</w:t>
      </w:r>
    </w:p>
    <w:p>
      <w:pPr>
        <w:pBdr>
          <w:bottom w:val="single" w:color="D0D7E2" w:sz="4" w:space="1"/>
        </w:pBdr>
        <w:spacing w:after="160" w:before="160"/>
      </w:pPr>
      <w:r>
        <w:t xml:space="preserve"/>
      </w:r>
    </w:p>
    <w:p>
      <w:pPr>
        <w:pStyle w:val="Heading1"/>
        <w:pBdr>
          <w:bottom w:val="single" w:color="C9A84C" w:sz="8" w:space="6"/>
        </w:pBdr>
        <w:spacing w:after="120" w:before="360"/>
      </w:pPr>
      <w:r>
        <w:rPr>
          <w:rFonts w:ascii="Arial" w:cs="Arial" w:eastAsia="Arial" w:hAnsi="Arial"/>
          <w:b/>
          <w:bCs/>
          <w:color w:val="1B2A4A"/>
          <w:sz w:val="32"/>
          <w:szCs w:val="32"/>
        </w:rPr>
        <w:t xml:space="preserve">7. Competitive Landscape &amp; Differentiation</w:t>
      </w:r>
    </w:p>
    <w:p>
      <w:pPr>
        <w:pStyle w:val="Heading2"/>
        <w:spacing w:after="80" w:before="280"/>
      </w:pPr>
      <w:r>
        <w:rPr>
          <w:rFonts w:ascii="Arial" w:cs="Arial" w:eastAsia="Arial" w:hAnsi="Arial"/>
          <w:b/>
          <w:bCs/>
          <w:color w:val="4A6FA5"/>
          <w:sz w:val="26"/>
          <w:szCs w:val="26"/>
        </w:rPr>
        <w:t xml:space="preserve">7.1 Existing Players</w:t>
      </w:r>
    </w:p>
    <w:p>
      <w:pPr>
        <w:spacing w:after="100" w:before="60"/>
      </w:pPr>
      <w:r>
        <w:rPr>
          <w:rFonts w:ascii="Arial" w:cs="Arial" w:eastAsia="Arial" w:hAnsi="Arial"/>
          <w:color w:val="1A1A1A"/>
          <w:sz w:val="22"/>
          <w:szCs w:val="22"/>
        </w:rPr>
        <w:t xml:space="preserve">The home equity tokenization space is nascent. Existing adjacent players include Roofstock (institutional rental tokenization), Arrived (fractional investment in rentals), and various equity-sharing models (Unison, Point, Hometap). None of these address the HomeToken use case:</w:t>
      </w:r>
    </w:p>
    <w:p>
      <w:pPr>
        <w:pStyle w:val="ListParagraph"/>
        <w:numPr>
          <w:ilvl w:val="0"/>
          <w:numId w:val="2"/>
        </w:numPr>
        <w:spacing w:after="40" w:before="40"/>
      </w:pPr>
      <w:r>
        <w:rPr>
          <w:rFonts w:ascii="Arial" w:cs="Arial" w:eastAsia="Arial" w:hAnsi="Arial"/>
          <w:color w:val="1A1A1A"/>
          <w:sz w:val="22"/>
          <w:szCs w:val="22"/>
        </w:rPr>
        <w:t xml:space="preserve">All existing equity-sharing models involve the platform acquiring an interest in the home — exactly the corporate ownership model HomeToken is designed to displace</w:t>
      </w:r>
    </w:p>
    <w:p>
      <w:pPr>
        <w:pStyle w:val="ListParagraph"/>
        <w:numPr>
          <w:ilvl w:val="0"/>
          <w:numId w:val="2"/>
        </w:numPr>
        <w:spacing w:after="40" w:before="40"/>
      </w:pPr>
      <w:r>
        <w:rPr>
          <w:rFonts w:ascii="Arial" w:cs="Arial" w:eastAsia="Arial" w:hAnsi="Arial"/>
          <w:color w:val="1A1A1A"/>
          <w:sz w:val="22"/>
          <w:szCs w:val="22"/>
        </w:rPr>
        <w:t xml:space="preserve">No existing platform combines tokenization with institutional fund deployment for yield generation</w:t>
      </w:r>
    </w:p>
    <w:p>
      <w:pPr>
        <w:pStyle w:val="ListParagraph"/>
        <w:numPr>
          <w:ilvl w:val="0"/>
          <w:numId w:val="2"/>
        </w:numPr>
        <w:spacing w:after="40" w:before="40"/>
      </w:pPr>
      <w:r>
        <w:rPr>
          <w:rFonts w:ascii="Arial" w:cs="Arial" w:eastAsia="Arial" w:hAnsi="Arial"/>
          <w:color w:val="1A1A1A"/>
          <w:sz w:val="22"/>
          <w:szCs w:val="22"/>
        </w:rPr>
        <w:t xml:space="preserve">No existing platform offers a structured reverse mortgage alternative with homeowner-controlled token sales</w:t>
      </w:r>
    </w:p>
    <w:p>
      <w:pPr>
        <w:spacing w:after="120" w:before="0"/>
      </w:pPr>
      <w:r>
        <w:t xml:space="preserve"/>
      </w:r>
    </w:p>
    <w:p>
      <w:pPr>
        <w:pStyle w:val="Heading2"/>
        <w:spacing w:after="80" w:before="280"/>
      </w:pPr>
      <w:r>
        <w:rPr>
          <w:rFonts w:ascii="Arial" w:cs="Arial" w:eastAsia="Arial" w:hAnsi="Arial"/>
          <w:b/>
          <w:bCs/>
          <w:color w:val="4A6FA5"/>
          <w:sz w:val="26"/>
          <w:szCs w:val="26"/>
        </w:rPr>
        <w:t xml:space="preserve">7.2 HomeToken's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Dimension</w:t>
            </w:r>
          </w:p>
        </w:tc>
        <w:tc>
          <w:tcPr>
            <w:tcW w:type="dxa" w:w="312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Competitors</w:t>
            </w:r>
          </w:p>
        </w:tc>
        <w:tc>
          <w:tcPr>
            <w:tcW w:type="dxa" w:w="312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HomeToken</w:t>
            </w:r>
          </w:p>
        </w:tc>
      </w:tr>
      <w:tr>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Platform acquires home interest</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Yes (Unison, Point, Hometap)</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Never</w:t>
            </w:r>
          </w:p>
        </w:tc>
      </w:tr>
      <w:tr>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Homeowner retains full control</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Partial / contractually limited</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Always</w:t>
            </w:r>
          </w:p>
        </w:tc>
      </w:tr>
      <w:tr>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Yield from equity</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No — cost, not return</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Yes — institutional fund returns</w:t>
            </w:r>
          </w:p>
        </w:tc>
      </w:tr>
      <w:tr>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Reverse mortgage alternative</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No</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Yes — core use case</w:t>
            </w:r>
          </w:p>
        </w:tc>
      </w:tr>
      <w:tr>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Marketplace for resale</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Limited / none</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Yes — P2P with low fees</w:t>
            </w:r>
          </w:p>
        </w:tc>
      </w:tr>
      <w:tr>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Estate / heir solution</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None</w:t>
            </w:r>
          </w:p>
        </w:tc>
        <w:tc>
          <w:tcPr>
            <w:tcW w:type="dxa" w:w="3120"/>
            <w:tcBorders>
              <w:top w:val="single" w:color="D0D7E2" w:sz="1"/>
              <w:left w:val="single" w:color="D0D7E2" w:sz="1"/>
              <w:bottom w:val="single" w:color="D0D7E2" w:sz="1"/>
              <w:right w:val="single" w:color="D0D7E2" w:sz="1"/>
            </w:tcBorders>
            <w:shd w:fill="FFFFFF" w:val="clear"/>
            <w:tcMar>
              <w:top w:type="dxa" w:w="100"/>
              <w:left w:type="dxa" w:w="160"/>
              <w:bottom w:type="dxa" w:w="100"/>
              <w:right w:type="dxa" w:w="160"/>
            </w:tcMar>
          </w:tcPr>
          <w:p>
            <w:r>
              <w:rPr>
                <w:rFonts w:ascii="Arial" w:cs="Arial" w:eastAsia="Arial" w:hAnsi="Arial"/>
                <w:b w:val="false"/>
                <w:bCs w:val="false"/>
                <w:color w:val="1A1A1A"/>
                <w:sz w:val="20"/>
                <w:szCs w:val="20"/>
              </w:rPr>
              <w:t xml:space="preserve">Yes — immediate token liquidity</w:t>
            </w:r>
          </w:p>
        </w:tc>
      </w:tr>
    </w:tbl>
    <w:p>
      <w:pPr>
        <w:spacing w:after="120" w:before="0"/>
      </w:pPr>
      <w:r>
        <w:t xml:space="preserve"/>
      </w:r>
    </w:p>
    <w:p>
      <w:pPr>
        <w:pStyle w:val="Heading2"/>
        <w:spacing w:after="80" w:before="280"/>
      </w:pPr>
      <w:r>
        <w:rPr>
          <w:rFonts w:ascii="Arial" w:cs="Arial" w:eastAsia="Arial" w:hAnsi="Arial"/>
          <w:b/>
          <w:bCs/>
          <w:color w:val="4A6FA5"/>
          <w:sz w:val="26"/>
          <w:szCs w:val="26"/>
        </w:rPr>
        <w:t xml:space="preserve">7.3 Ethical Positioning</w:t>
      </w:r>
    </w:p>
    <w:p>
      <w:pPr>
        <w:spacing w:after="100" w:before="60"/>
      </w:pPr>
      <w:r>
        <w:rPr>
          <w:rFonts w:ascii="Arial" w:cs="Arial" w:eastAsia="Arial" w:hAnsi="Arial"/>
          <w:color w:val="1A1A1A"/>
          <w:sz w:val="22"/>
          <w:szCs w:val="22"/>
        </w:rPr>
        <w:t xml:space="preserve">HomeToken's anti-corporate-ownership stance is not merely a marketing position — it is a structural architectural constraint. The platform's smart contract layer and terms of service prohibit institutional bulk acquisition of tokens. This is a durable ethical differentiator that resonates across the political spectrum and positions the platform favorably with both consumer advocates and regulators.</w:t>
      </w:r>
    </w:p>
    <w:p>
      <w:pPr>
        <w:pBdr>
          <w:bottom w:val="single" w:color="D0D7E2" w:sz="4" w:space="1"/>
        </w:pBdr>
        <w:spacing w:after="160" w:before="160"/>
      </w:pPr>
      <w:r>
        <w:t xml:space="preserve"/>
      </w:r>
    </w:p>
    <w:p>
      <w:pPr>
        <w:pStyle w:val="Heading1"/>
        <w:pBdr>
          <w:bottom w:val="single" w:color="C9A84C" w:sz="8" w:space="6"/>
        </w:pBdr>
        <w:spacing w:after="120" w:before="360"/>
      </w:pPr>
      <w:r>
        <w:rPr>
          <w:rFonts w:ascii="Arial" w:cs="Arial" w:eastAsia="Arial" w:hAnsi="Arial"/>
          <w:b/>
          <w:bCs/>
          <w:color w:val="1B2A4A"/>
          <w:sz w:val="32"/>
          <w:szCs w:val="32"/>
        </w:rPr>
        <w:t xml:space="preserve">8. Risk Factors</w:t>
      </w:r>
    </w:p>
    <w:p>
      <w:pPr>
        <w:pStyle w:val="Heading2"/>
        <w:spacing w:after="80" w:before="280"/>
      </w:pPr>
      <w:r>
        <w:rPr>
          <w:rFonts w:ascii="Arial" w:cs="Arial" w:eastAsia="Arial" w:hAnsi="Arial"/>
          <w:b/>
          <w:bCs/>
          <w:color w:val="4A6FA5"/>
          <w:sz w:val="26"/>
          <w:szCs w:val="26"/>
        </w:rPr>
        <w:t xml:space="preserve">8.1 Regulatory Risk</w:t>
      </w:r>
    </w:p>
    <w:p>
      <w:pPr>
        <w:spacing w:after="100" w:before="60"/>
      </w:pPr>
      <w:r>
        <w:rPr>
          <w:rFonts w:ascii="Arial" w:cs="Arial" w:eastAsia="Arial" w:hAnsi="Arial"/>
          <w:color w:val="1A1A1A"/>
          <w:sz w:val="22"/>
          <w:szCs w:val="22"/>
        </w:rPr>
        <w:t xml:space="preserve">This is the platform's primary risk. The SEC may classify home equity tokens as securities, requiring broker-dealer registration or an exemption. State real estate laws vary significantly and may impose additional requirements. See the companion Regulatory Landscape Overview for detailed analysis.</w:t>
      </w:r>
    </w:p>
    <w:p>
      <w:pPr>
        <w:pStyle w:val="Heading2"/>
        <w:spacing w:after="80" w:before="280"/>
      </w:pPr>
      <w:r>
        <w:rPr>
          <w:rFonts w:ascii="Arial" w:cs="Arial" w:eastAsia="Arial" w:hAnsi="Arial"/>
          <w:b/>
          <w:bCs/>
          <w:color w:val="4A6FA5"/>
          <w:sz w:val="26"/>
          <w:szCs w:val="26"/>
        </w:rPr>
        <w:t xml:space="preserve">8.2 Fund Performance Risk</w:t>
      </w:r>
    </w:p>
    <w:p>
      <w:pPr>
        <w:spacing w:after="100" w:before="60"/>
      </w:pPr>
      <w:r>
        <w:rPr>
          <w:rFonts w:ascii="Arial" w:cs="Arial" w:eastAsia="Arial" w:hAnsi="Arial"/>
          <w:color w:val="1A1A1A"/>
          <w:sz w:val="22"/>
          <w:szCs w:val="22"/>
        </w:rPr>
        <w:t xml:space="preserve">The platform's yield proposition is dependent on continued strong fund performance. While the track record is exceptional, past performance does not guarantee future results. The platform should structure the yield relationship as investment-linked (not guaranteed) and disclose this prominently to homeowners.</w:t>
      </w:r>
    </w:p>
    <w:p>
      <w:pPr>
        <w:pStyle w:val="Heading2"/>
        <w:spacing w:after="80" w:before="280"/>
      </w:pPr>
      <w:r>
        <w:rPr>
          <w:rFonts w:ascii="Arial" w:cs="Arial" w:eastAsia="Arial" w:hAnsi="Arial"/>
          <w:b/>
          <w:bCs/>
          <w:color w:val="4A6FA5"/>
          <w:sz w:val="26"/>
          <w:szCs w:val="26"/>
        </w:rPr>
        <w:t xml:space="preserve">8.3 Valuation Risk</w:t>
      </w:r>
    </w:p>
    <w:p>
      <w:pPr>
        <w:spacing w:after="100" w:before="60"/>
      </w:pPr>
      <w:r>
        <w:rPr>
          <w:rFonts w:ascii="Arial" w:cs="Arial" w:eastAsia="Arial" w:hAnsi="Arial"/>
          <w:color w:val="1A1A1A"/>
          <w:sz w:val="22"/>
          <w:szCs w:val="22"/>
        </w:rPr>
        <w:t xml:space="preserve">Property values can decline. Token values are pegged to AVM output, and significant price declines could impair collateral value, affecting both the yield product and marketplace liquidity. The platform should maintain conservative LTV ratios and build margin call mechanisms into the pledge structure.</w:t>
      </w:r>
    </w:p>
    <w:p>
      <w:pPr>
        <w:pStyle w:val="Heading2"/>
        <w:spacing w:after="80" w:before="280"/>
      </w:pPr>
      <w:r>
        <w:rPr>
          <w:rFonts w:ascii="Arial" w:cs="Arial" w:eastAsia="Arial" w:hAnsi="Arial"/>
          <w:b/>
          <w:bCs/>
          <w:color w:val="4A6FA5"/>
          <w:sz w:val="26"/>
          <w:szCs w:val="26"/>
        </w:rPr>
        <w:t xml:space="preserve">8.4 Lien Priority Risk</w:t>
      </w:r>
    </w:p>
    <w:p>
      <w:pPr>
        <w:spacing w:after="100" w:before="60"/>
      </w:pPr>
      <w:r>
        <w:rPr>
          <w:rFonts w:ascii="Arial" w:cs="Arial" w:eastAsia="Arial" w:hAnsi="Arial"/>
          <w:color w:val="1A1A1A"/>
          <w:sz w:val="22"/>
          <w:szCs w:val="22"/>
        </w:rPr>
        <w:t xml:space="preserve">Most homeowners have an existing first mortgage. Token holders have subordinate equity claims. If a homeowner defaults on their mortgage, the first lien holder's claim takes precedence. The platform must clearly disclose this priority structure and may require mortgage lender consent in certain structures.</w:t>
      </w:r>
    </w:p>
    <w:p>
      <w:pPr>
        <w:pStyle w:val="Heading2"/>
        <w:spacing w:after="80" w:before="280"/>
      </w:pPr>
      <w:r>
        <w:rPr>
          <w:rFonts w:ascii="Arial" w:cs="Arial" w:eastAsia="Arial" w:hAnsi="Arial"/>
          <w:b/>
          <w:bCs/>
          <w:color w:val="4A6FA5"/>
          <w:sz w:val="26"/>
          <w:szCs w:val="26"/>
        </w:rPr>
        <w:t xml:space="preserve">8.5 Liquidity Risk</w:t>
      </w:r>
    </w:p>
    <w:p>
      <w:pPr>
        <w:spacing w:after="100" w:before="60"/>
      </w:pPr>
      <w:r>
        <w:rPr>
          <w:rFonts w:ascii="Arial" w:cs="Arial" w:eastAsia="Arial" w:hAnsi="Arial"/>
          <w:color w:val="1A1A1A"/>
          <w:sz w:val="22"/>
          <w:szCs w:val="22"/>
        </w:rPr>
        <w:t xml:space="preserve">Token marketplace liquidity depends on buyer demand. In the early phases, the marketplace may have limited depth. The platform should set expectations accordingly and develop strategies to seed marketplace liquidity through institutional investor participation within its compliance constraints.</w:t>
      </w:r>
    </w:p>
    <w:p>
      <w:pPr>
        <w:pBdr>
          <w:bottom w:val="single" w:color="D0D7E2" w:sz="4" w:space="1"/>
        </w:pBdr>
        <w:spacing w:after="160" w:before="160"/>
      </w:pPr>
      <w:r>
        <w:t xml:space="preserve"/>
      </w:r>
    </w:p>
    <w:p>
      <w:pPr>
        <w:pStyle w:val="Heading1"/>
        <w:pBdr>
          <w:bottom w:val="single" w:color="C9A84C" w:sz="8" w:space="6"/>
        </w:pBdr>
        <w:spacing w:after="120" w:before="360"/>
      </w:pPr>
      <w:r>
        <w:rPr>
          <w:rFonts w:ascii="Arial" w:cs="Arial" w:eastAsia="Arial" w:hAnsi="Arial"/>
          <w:b/>
          <w:bCs/>
          <w:color w:val="1B2A4A"/>
          <w:sz w:val="32"/>
          <w:szCs w:val="32"/>
        </w:rPr>
        <w:t xml:space="preserve">9. Development Roadmap &amp; Next Steps</w:t>
      </w:r>
    </w:p>
    <w:p>
      <w:pPr>
        <w:pStyle w:val="Heading2"/>
        <w:spacing w:after="80" w:before="280"/>
      </w:pPr>
      <w:r>
        <w:rPr>
          <w:rFonts w:ascii="Arial" w:cs="Arial" w:eastAsia="Arial" w:hAnsi="Arial"/>
          <w:b/>
          <w:bCs/>
          <w:color w:val="4A6FA5"/>
          <w:sz w:val="26"/>
          <w:szCs w:val="26"/>
        </w:rPr>
        <w:t xml:space="preserve">9.1 Immediate Priorities (0–6 Months)</w:t>
      </w:r>
    </w:p>
    <w:p>
      <w:pPr>
        <w:pStyle w:val="ListParagraph"/>
        <w:numPr>
          <w:ilvl w:val="0"/>
          <w:numId w:val="3"/>
        </w:numPr>
        <w:spacing w:after="40" w:before="40"/>
      </w:pPr>
      <w:r>
        <w:rPr>
          <w:rFonts w:ascii="Arial" w:cs="Arial" w:eastAsia="Arial" w:hAnsi="Arial"/>
          <w:color w:val="1A1A1A"/>
          <w:sz w:val="22"/>
          <w:szCs w:val="22"/>
        </w:rPr>
        <w:t xml:space="preserve">Legal structure: Engage securities counsel to determine optimal regulatory path (Reg D exemption for accredited investors as likely first step)</w:t>
      </w:r>
    </w:p>
    <w:p>
      <w:pPr>
        <w:pStyle w:val="ListParagraph"/>
        <w:numPr>
          <w:ilvl w:val="0"/>
          <w:numId w:val="3"/>
        </w:numPr>
        <w:spacing w:after="40" w:before="40"/>
      </w:pPr>
      <w:r>
        <w:rPr>
          <w:rFonts w:ascii="Arial" w:cs="Arial" w:eastAsia="Arial" w:hAnsi="Arial"/>
          <w:color w:val="1A1A1A"/>
          <w:sz w:val="22"/>
          <w:szCs w:val="22"/>
        </w:rPr>
        <w:t xml:space="preserve">Wyoming entity formation: Establish operating entity in Wyoming; explore SPDI charter applicability</w:t>
      </w:r>
    </w:p>
    <w:p>
      <w:pPr>
        <w:pStyle w:val="ListParagraph"/>
        <w:numPr>
          <w:ilvl w:val="0"/>
          <w:numId w:val="3"/>
        </w:numPr>
        <w:spacing w:after="40" w:before="40"/>
      </w:pPr>
      <w:r>
        <w:rPr>
          <w:rFonts w:ascii="Arial" w:cs="Arial" w:eastAsia="Arial" w:hAnsi="Arial"/>
          <w:color w:val="1A1A1A"/>
          <w:sz w:val="22"/>
          <w:szCs w:val="22"/>
        </w:rPr>
        <w:t xml:space="preserve">Smart contract development: Commission security token contract audit and deployment on chosen chain</w:t>
      </w:r>
    </w:p>
    <w:p>
      <w:pPr>
        <w:pStyle w:val="ListParagraph"/>
        <w:numPr>
          <w:ilvl w:val="0"/>
          <w:numId w:val="3"/>
        </w:numPr>
        <w:spacing w:after="40" w:before="40"/>
      </w:pPr>
      <w:r>
        <w:rPr>
          <w:rFonts w:ascii="Arial" w:cs="Arial" w:eastAsia="Arial" w:hAnsi="Arial"/>
          <w:color w:val="1A1A1A"/>
          <w:sz w:val="22"/>
          <w:szCs w:val="22"/>
        </w:rPr>
        <w:t xml:space="preserve">AVM partnership: Negotiate data agreement with CoreLogic or Black Knight</w:t>
      </w:r>
    </w:p>
    <w:p>
      <w:pPr>
        <w:pStyle w:val="ListParagraph"/>
        <w:numPr>
          <w:ilvl w:val="0"/>
          <w:numId w:val="3"/>
        </w:numPr>
        <w:spacing w:after="40" w:before="40"/>
      </w:pPr>
      <w:r>
        <w:rPr>
          <w:rFonts w:ascii="Arial" w:cs="Arial" w:eastAsia="Arial" w:hAnsi="Arial"/>
          <w:color w:val="1A1A1A"/>
          <w:sz w:val="22"/>
          <w:szCs w:val="22"/>
        </w:rPr>
        <w:t xml:space="preserve">Title partnership: Establish relationship with national title insurance provider</w:t>
      </w:r>
    </w:p>
    <w:p>
      <w:pPr>
        <w:pStyle w:val="ListParagraph"/>
        <w:numPr>
          <w:ilvl w:val="0"/>
          <w:numId w:val="3"/>
        </w:numPr>
        <w:spacing w:after="40" w:before="40"/>
      </w:pPr>
      <w:r>
        <w:rPr>
          <w:rFonts w:ascii="Arial" w:cs="Arial" w:eastAsia="Arial" w:hAnsi="Arial"/>
          <w:color w:val="1A1A1A"/>
          <w:sz w:val="22"/>
          <w:szCs w:val="22"/>
        </w:rPr>
        <w:t xml:space="preserve">Fund structure: Formalize fund vehicle for capital deployment; draft LP documents</w:t>
      </w:r>
    </w:p>
    <w:p>
      <w:pPr>
        <w:spacing w:after="120" w:before="0"/>
      </w:pPr>
      <w:r>
        <w:t xml:space="preserve"/>
      </w:r>
    </w:p>
    <w:p>
      <w:pPr>
        <w:pStyle w:val="Heading2"/>
        <w:spacing w:after="80" w:before="280"/>
      </w:pPr>
      <w:r>
        <w:rPr>
          <w:rFonts w:ascii="Arial" w:cs="Arial" w:eastAsia="Arial" w:hAnsi="Arial"/>
          <w:b/>
          <w:bCs/>
          <w:color w:val="4A6FA5"/>
          <w:sz w:val="26"/>
          <w:szCs w:val="26"/>
        </w:rPr>
        <w:t xml:space="preserve">9.2 Medium-Term Milestones (6–18 Months)</w:t>
      </w:r>
    </w:p>
    <w:p>
      <w:pPr>
        <w:pStyle w:val="ListParagraph"/>
        <w:numPr>
          <w:ilvl w:val="0"/>
          <w:numId w:val="3"/>
        </w:numPr>
        <w:spacing w:after="40" w:before="40"/>
      </w:pPr>
      <w:r>
        <w:rPr>
          <w:rFonts w:ascii="Arial" w:cs="Arial" w:eastAsia="Arial" w:hAnsi="Arial"/>
          <w:color w:val="1A1A1A"/>
          <w:sz w:val="22"/>
          <w:szCs w:val="22"/>
        </w:rPr>
        <w:t xml:space="preserve">Pilot cohort: Onboard 10–20 Jackson Hole properties for live pilot</w:t>
      </w:r>
    </w:p>
    <w:p>
      <w:pPr>
        <w:pStyle w:val="ListParagraph"/>
        <w:numPr>
          <w:ilvl w:val="0"/>
          <w:numId w:val="3"/>
        </w:numPr>
        <w:spacing w:after="40" w:before="40"/>
      </w:pPr>
      <w:r>
        <w:rPr>
          <w:rFonts w:ascii="Arial" w:cs="Arial" w:eastAsia="Arial" w:hAnsi="Arial"/>
          <w:color w:val="1A1A1A"/>
          <w:sz w:val="22"/>
          <w:szCs w:val="22"/>
        </w:rPr>
        <w:t xml:space="preserve">SEC engagement: Proactive regulatory dialogue; no-action letter request if warranted</w:t>
      </w:r>
    </w:p>
    <w:p>
      <w:pPr>
        <w:pStyle w:val="ListParagraph"/>
        <w:numPr>
          <w:ilvl w:val="0"/>
          <w:numId w:val="3"/>
        </w:numPr>
        <w:spacing w:after="40" w:before="40"/>
      </w:pPr>
      <w:r>
        <w:rPr>
          <w:rFonts w:ascii="Arial" w:cs="Arial" w:eastAsia="Arial" w:hAnsi="Arial"/>
          <w:color w:val="1A1A1A"/>
          <w:sz w:val="22"/>
          <w:szCs w:val="22"/>
        </w:rPr>
        <w:t xml:space="preserve">Marketplace soft launch: Enable token trading among pilot cohort participants</w:t>
      </w:r>
    </w:p>
    <w:p>
      <w:pPr>
        <w:pStyle w:val="ListParagraph"/>
        <w:numPr>
          <w:ilvl w:val="0"/>
          <w:numId w:val="3"/>
        </w:numPr>
        <w:spacing w:after="40" w:before="40"/>
      </w:pPr>
      <w:r>
        <w:rPr>
          <w:rFonts w:ascii="Arial" w:cs="Arial" w:eastAsia="Arial" w:hAnsi="Arial"/>
          <w:color w:val="1A1A1A"/>
          <w:sz w:val="22"/>
          <w:szCs w:val="22"/>
        </w:rPr>
        <w:t xml:space="preserve">Performance documentation: Begin building platform-level return track record</w:t>
      </w:r>
    </w:p>
    <w:p>
      <w:pPr>
        <w:pStyle w:val="ListParagraph"/>
        <w:numPr>
          <w:ilvl w:val="0"/>
          <w:numId w:val="3"/>
        </w:numPr>
        <w:spacing w:after="40" w:before="40"/>
      </w:pPr>
      <w:r>
        <w:rPr>
          <w:rFonts w:ascii="Arial" w:cs="Arial" w:eastAsia="Arial" w:hAnsi="Arial"/>
          <w:color w:val="1A1A1A"/>
          <w:sz w:val="22"/>
          <w:szCs w:val="22"/>
        </w:rPr>
        <w:t xml:space="preserve">Series A fundraise: Capitalize growth with institutional venture or family office backing</w:t>
      </w:r>
    </w:p>
    <w:p>
      <w:pPr>
        <w:spacing w:after="120" w:before="0"/>
      </w:pPr>
      <w:r>
        <w:t xml:space="preserve"/>
      </w:r>
    </w:p>
    <w:p>
      <w:pPr>
        <w:pStyle w:val="Heading2"/>
        <w:spacing w:after="80" w:before="280"/>
      </w:pPr>
      <w:r>
        <w:rPr>
          <w:rFonts w:ascii="Arial" w:cs="Arial" w:eastAsia="Arial" w:hAnsi="Arial"/>
          <w:b/>
          <w:bCs/>
          <w:color w:val="4A6FA5"/>
          <w:sz w:val="26"/>
          <w:szCs w:val="26"/>
        </w:rPr>
        <w:t xml:space="preserve">9.3 Long-Term Vision (3–5 Years)</w:t>
      </w:r>
    </w:p>
    <w:p>
      <w:pPr>
        <w:spacing w:after="100" w:before="60"/>
      </w:pPr>
      <w:r>
        <w:rPr>
          <w:rFonts w:ascii="Arial" w:cs="Arial" w:eastAsia="Arial" w:hAnsi="Arial"/>
          <w:color w:val="1A1A1A"/>
          <w:sz w:val="22"/>
          <w:szCs w:val="22"/>
        </w:rPr>
        <w:t xml:space="preserve">HomeToken becomes the standard infrastructure layer for residential real estate equity liquidity in the United States — the platform that finally gives ordinary homeowners access to the same financial tools that institutions have used for decades to generate returns from real estate, without the predatory fee structures, debt obligations, or loss of control that have historically characterized this space.</w:t>
      </w:r>
    </w:p>
    <w:p>
      <w:pPr>
        <w:pBdr>
          <w:bottom w:val="single" w:color="D0D7E2" w:sz="4" w:space="1"/>
        </w:pBdr>
        <w:spacing w:after="160" w:before="160"/>
      </w:pPr>
      <w:r>
        <w:t xml:space="preserve"/>
      </w:r>
    </w:p>
    <w:p>
      <w:pPr>
        <w:spacing w:after="80" w:before="480"/>
        <w:jc w:val="center"/>
      </w:pPr>
      <w:r>
        <w:rPr>
          <w:rFonts w:ascii="Arial" w:cs="Arial" w:eastAsia="Arial" w:hAnsi="Arial"/>
          <w:b/>
          <w:bCs/>
          <w:color w:val="1B2A4A"/>
          <w:sz w:val="28"/>
          <w:szCs w:val="28"/>
        </w:rPr>
        <w:t xml:space="preserve">HOMETOKEN</w:t>
      </w:r>
    </w:p>
    <w:p>
      <w:pPr>
        <w:spacing w:after="80" w:before="0"/>
        <w:jc w:val="center"/>
      </w:pPr>
      <w:r>
        <w:rPr>
          <w:rFonts w:ascii="Arial" w:cs="Arial" w:eastAsia="Arial" w:hAnsi="Arial"/>
          <w:i/>
          <w:iCs/>
          <w:color w:val="555F6E"/>
          <w:sz w:val="20"/>
          <w:szCs w:val="20"/>
        </w:rPr>
        <w:t xml:space="preserve">Homeowner-Controlled Equity Tokenization Platform</w:t>
      </w:r>
    </w:p>
    <w:p>
      <w:pPr>
        <w:spacing w:after="0" w:before="0"/>
        <w:jc w:val="center"/>
      </w:pPr>
      <w:r>
        <w:rPr>
          <w:rFonts w:ascii="Arial" w:cs="Arial" w:eastAsia="Arial" w:hAnsi="Arial"/>
          <w:color w:val="555F6E"/>
          <w:sz w:val="16"/>
          <w:szCs w:val="16"/>
        </w:rPr>
        <w:t xml:space="preserve">This document is confidential and for discussion purposes only. Not an offer to sell securities.</w:t>
      </w:r>
    </w:p>
    <w:sectPr>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555F6E"/>
        <w:sz w:val="16"/>
        <w:szCs w:val="16"/>
      </w:rPr>
      <w:t xml:space="preserve">HomeToken — Confidential White Paper    </w:t>
    </w:r>
    <w:r>
      <w:rPr>
        <w:rFonts w:ascii="Arial" w:cs="Arial" w:eastAsia="Arial" w:hAnsi="Arial"/>
        <w:color w:val="555F6E"/>
        <w:sz w:val="16"/>
        <w:szCs w:val="16"/>
      </w:rPr>
      <w:ptab w:alignment="right" w:relativeTo="margin" w:leader="none"/>
    </w:r>
    <w:r>
      <w:rPr>
        <w:rFonts w:ascii="Arial" w:cs="Arial" w:eastAsia="Arial" w:hAnsi="Arial"/>
        <w:color w:val="555F6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280"/>
      <w:outlineLvl w:val="1"/>
    </w:pPr>
    <w:rPr>
      <w:rFonts w:ascii="Arial" w:cs="Arial" w:eastAsia="Arial" w:hAnsi="Arial"/>
      <w:b/>
      <w:bCs/>
      <w:color w:val="4A6FA5"/>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2026-04-25T16:25:16.893Z</dcterms:created>
  <dcterms:modified xsi:type="dcterms:W3CDTF">2026-04-25T16:25:16.894Z</dcterms:modified>
</cp:coreProperties>
</file>

<file path=docProps/custom.xml><?xml version="1.0" encoding="utf-8"?>
<Properties xmlns="http://schemas.openxmlformats.org/officeDocument/2006/custom-properties" xmlns:vt="http://schemas.openxmlformats.org/officeDocument/2006/docPropsVTypes"/>
</file>