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76E67"/>
          <w:sz w:val="20"/>
          <w:szCs w:val="20"/>
        </w:rPr>
        <w:t xml:space="preserve">MICEGO</w:t>
      </w:r>
    </w:p>
    <w:p>
      <w:pPr>
        <w:spacing w:after="200"/>
      </w:pPr>
      <w:r>
        <w:rPr>
          <w:rFonts w:ascii="Arial" w:cs="Arial" w:eastAsia="Arial" w:hAnsi="Arial"/>
          <w:b/>
          <w:bCs/>
          <w:color w:val="0F1E3D"/>
          <w:sz w:val="34"/>
          <w:szCs w:val="34"/>
        </w:rPr>
        <w:t xml:space="preserve">Naboo 벤치마킹 반영 검토 — 오거나이저 페이지 관점</w:t>
      </w:r>
    </w:p>
    <w:p>
      <w:pPr>
        <w:spacing w:after="80" w:line="280"/>
      </w:pPr>
      <w:r>
        <w:rPr>
          <w:rFonts w:ascii="Arial" w:cs="Arial" w:eastAsia="Arial" w:hAnsi="Arial"/>
          <w:b/>
          <w:bCs/>
          <w:color w:val="0F1E3D"/>
          <w:sz w:val="20"/>
          <w:szCs w:val="20"/>
        </w:rPr>
        <w:t xml:space="preserve">문서 성격  </w:t>
      </w:r>
      <w:r>
        <w:rPr>
          <w:rFonts w:ascii="Arial" w:cs="Arial" w:eastAsia="Arial" w:hAnsi="Arial"/>
          <w:color w:val="333333"/>
          <w:sz w:val="20"/>
          <w:szCs w:val="20"/>
        </w:rPr>
        <w:t xml:space="preserve">경쟁사(Naboo) 벤치마킹 피드백 5건을, 오거나이저 대상 랜딩페이지 관점에서 반영 여부를 판정한 검토 보고서</w:t>
      </w:r>
    </w:p>
    <w:p>
      <w:pPr>
        <w:spacing w:after="80" w:line="280"/>
      </w:pPr>
      <w:r>
        <w:rPr>
          <w:rFonts w:ascii="Arial" w:cs="Arial" w:eastAsia="Arial" w:hAnsi="Arial"/>
          <w:b/>
          <w:bCs/>
          <w:color w:val="0F1E3D"/>
          <w:sz w:val="20"/>
          <w:szCs w:val="20"/>
        </w:rPr>
        <w:t xml:space="preserve">작성일  </w:t>
      </w:r>
      <w:r>
        <w:rPr>
          <w:rFonts w:ascii="Arial" w:cs="Arial" w:eastAsia="Arial" w:hAnsi="Arial"/>
          <w:color w:val="333333"/>
          <w:sz w:val="20"/>
          <w:szCs w:val="20"/>
        </w:rPr>
        <w:t xml:space="preserve">2026-08-12</w:t>
      </w:r>
    </w:p>
    <w:p>
      <w:pPr>
        <w:spacing w:after="80" w:line="280"/>
      </w:pPr>
      <w:r>
        <w:rPr>
          <w:rFonts w:ascii="Arial" w:cs="Arial" w:eastAsia="Arial" w:hAnsi="Arial"/>
          <w:b/>
          <w:bCs/>
          <w:color w:val="0F1E3D"/>
          <w:sz w:val="20"/>
          <w:szCs w:val="20"/>
        </w:rPr>
        <w:t xml:space="preserve">연관 문서  </w:t>
      </w:r>
      <w:r>
        <w:rPr>
          <w:rFonts w:ascii="Arial" w:cs="Arial" w:eastAsia="Arial" w:hAnsi="Arial"/>
          <w:color w:val="333333"/>
          <w:sz w:val="20"/>
          <w:szCs w:val="20"/>
        </w:rPr>
        <w:t xml:space="preserve">micego-organizer-landing.html (오거나이저 랜딩페이지) / MICEGO_오거나이저_RFP_SOP.docx</w:t>
      </w:r>
    </w:p>
    <w:p>
      <w:pPr>
        <w:spacing w:after="80" w:line="280"/>
      </w:pPr>
      <w:r>
        <w:rPr>
          <w:rFonts w:ascii="Arial" w:cs="Arial" w:eastAsia="Arial" w:hAnsi="Arial"/>
          <w:b/>
          <w:bCs/>
          <w:color w:val="0F1E3D"/>
          <w:sz w:val="20"/>
          <w:szCs w:val="20"/>
        </w:rPr>
        <w:t xml:space="preserve">범위 밖  </w:t>
      </w:r>
      <w:r>
        <w:rPr>
          <w:rFonts w:ascii="Arial" w:cs="Arial" w:eastAsia="Arial" w:hAnsi="Arial"/>
          <w:color w:val="333333"/>
          <w:sz w:val="20"/>
          <w:szCs w:val="20"/>
        </w:rPr>
        <w:t xml:space="preserve">호텔(공급자) 파트너 대상 자료·영업 퍼널, 비즈니스 모델(수수료율·결제흐름) 확정 — 본 문서는 다루지 않음</w:t>
      </w:r>
    </w:p>
    <w:p>
      <w:pPr>
        <w:pBdr>
          <w:bottom w:val="single" w:color="E4E8F0" w:sz="4" w:space="4"/>
        </w:pBdr>
        <w:spacing w:after="200"/>
      </w:pPr>
    </w:p>
    <w:p>
      <w:pPr>
        <w:pStyle w:val="Heading1"/>
        <w:pBdr>
          <w:bottom w:val="single" w:color="0B8F86" w:sz="6" w:space="6"/>
        </w:pBdr>
        <w:spacing w:after="160" w:before="360"/>
      </w:pPr>
      <w:r>
        <w:rPr>
          <w:rFonts w:ascii="Arial" w:cs="Arial" w:eastAsia="Arial" w:hAnsi="Arial"/>
          <w:b/>
          <w:bCs/>
          <w:color w:val="0F1E3D"/>
          <w:sz w:val="26"/>
          <w:szCs w:val="26"/>
        </w:rPr>
        <w:t xml:space="preserve">요약</w:t>
      </w:r>
    </w:p>
    <w:p>
      <w:pPr>
        <w:spacing w:after="140" w:line="300"/>
      </w:pPr>
      <w:r>
        <w:rPr>
          <w:rFonts w:ascii="Arial" w:cs="Arial" w:eastAsia="Arial" w:hAnsi="Arial"/>
          <w:b w:val="false"/>
          <w:bCs w:val="false"/>
          <w:i w:val="false"/>
          <w:iCs w:val="false"/>
          <w:color w:val="333333"/>
          <w:sz w:val="20"/>
          <w:szCs w:val="20"/>
        </w:rPr>
        <w:t xml:space="preserve">Naboo 벤치마킹 피드백 5건 중 오거나이저 랜딩페이지에 실제로 반영할 가치가 있는 것은 2건뿐입니다. 나머지는 호텔(공급자) 대상 자료이거나 아직 확정되지 않은 비즈니스 모델에 속해 이 페이지의 범위 밖입니다.</w:t>
      </w:r>
    </w:p>
    <w:p>
      <w:pPr>
        <w:pStyle w:val="ListParagraph"/>
        <w:numPr>
          <w:ilvl w:val="0"/>
          <w:numId w:val="2"/>
        </w:numPr>
        <w:spacing w:after="80" w:line="280"/>
      </w:pPr>
      <w:r>
        <w:rPr>
          <w:rFonts w:ascii="Arial" w:cs="Arial" w:eastAsia="Arial" w:hAnsi="Arial"/>
          <w:b w:val="false"/>
          <w:bCs w:val="false"/>
          <w:color w:val="333333"/>
          <w:sz w:val="20"/>
          <w:szCs w:val="20"/>
        </w:rPr>
        <w:t xml:space="preserve">반영 ① 수수료 문구를 "오거나이저 한정"으로 더 명확히 함 (기존 카피의 모호함 해소)</w:t>
      </w:r>
    </w:p>
    <w:p>
      <w:pPr>
        <w:pStyle w:val="ListParagraph"/>
        <w:numPr>
          <w:ilvl w:val="0"/>
          <w:numId w:val="2"/>
        </w:numPr>
        <w:spacing w:after="80" w:line="280"/>
      </w:pPr>
      <w:r>
        <w:rPr>
          <w:rFonts w:ascii="Arial" w:cs="Arial" w:eastAsia="Arial" w:hAnsi="Arial"/>
          <w:b w:val="false"/>
          <w:bCs w:val="false"/>
          <w:color w:val="333333"/>
          <w:sz w:val="20"/>
          <w:szCs w:val="20"/>
        </w:rPr>
        <w:t xml:space="preserve">반영 ② "담당자가 확인 후 전달한다"는 점을 오거나이저 신뢰 메시지로 표현 전환 (Naboo의 호텔향 리드품질 메시지를 오거나이저 관점으로 재구성)</w:t>
      </w:r>
    </w:p>
    <w:p>
      <w:pPr>
        <w:pStyle w:val="ListParagraph"/>
        <w:numPr>
          <w:ilvl w:val="0"/>
          <w:numId w:val="2"/>
        </w:numPr>
        <w:spacing w:after="80" w:line="280"/>
      </w:pPr>
      <w:r>
        <w:rPr>
          <w:rFonts w:ascii="Arial" w:cs="Arial" w:eastAsia="Arial" w:hAnsi="Arial"/>
          <w:b w:val="false"/>
          <w:bCs w:val="false"/>
          <w:color w:val="333333"/>
          <w:sz w:val="20"/>
          <w:szCs w:val="20"/>
        </w:rPr>
        <w:t xml:space="preserve">제외 — 결제/대금 흐름(디포짓 구조), 파트너 온보딩 퍼널: 호텔 파트너 대상이며 관련 기능도 아직 없음</w:t>
      </w:r>
    </w:p>
    <w:p>
      <w:pPr>
        <w:pStyle w:val="ListParagraph"/>
        <w:numPr>
          <w:ilvl w:val="0"/>
          <w:numId w:val="2"/>
        </w:numPr>
        <w:spacing w:after="80" w:line="280"/>
      </w:pPr>
      <w:r>
        <w:rPr>
          <w:rFonts w:ascii="Arial" w:cs="Arial" w:eastAsia="Arial" w:hAnsi="Arial"/>
          <w:b w:val="false"/>
          <w:bCs w:val="false"/>
          <w:color w:val="333333"/>
          <w:sz w:val="20"/>
          <w:szCs w:val="20"/>
        </w:rPr>
        <w:t xml:space="preserve">보류 — 호텔 커미션 부과 여부, 실적 숫자 노출: 비즈니스 모델 확정 및 실적 축적이 선행되어야 함</w:t>
      </w:r>
    </w:p>
    <w:p>
      <w:pPr>
        <w:spacing w:after="140" w:line="300"/>
      </w:pPr>
      <w:r>
        <w:rPr>
          <w:rFonts w:ascii="Arial" w:cs="Arial" w:eastAsia="Arial" w:hAnsi="Arial"/>
          <w:b w:val="false"/>
          <w:bCs w:val="false"/>
          <w:i/>
          <w:iCs/>
          <w:color w:val="6B7794"/>
          <w:sz w:val="20"/>
          <w:szCs w:val="20"/>
        </w:rPr>
        <w:t xml:space="preserve">검증 단계에서 원안의 두 가지 위험 문구를 걷어냈습니다: "견적가를 호텔 제시 금액 그대로 전달한다"는 마진 무가산 약속은 미확정 사실이자 향후 호텔 커미션 도입과 충돌할 수 있어 폐기했고, "전담 매니저"·"검증된 담당자" 같은 인력 수식어는 현재 1인 운영 체제와 맞지 않아 SOP에 실재하는 절차만 근거로 표현을 낮췄습니다.</w:t>
      </w:r>
    </w:p>
    <w:p>
      <w:pPr>
        <w:pStyle w:val="Heading1"/>
        <w:pBdr>
          <w:bottom w:val="single" w:color="0B8F86" w:sz="6" w:space="6"/>
        </w:pBdr>
        <w:spacing w:after="160" w:before="360"/>
      </w:pPr>
      <w:r>
        <w:rPr>
          <w:rFonts w:ascii="Arial" w:cs="Arial" w:eastAsia="Arial" w:hAnsi="Arial"/>
          <w:b/>
          <w:bCs/>
          <w:color w:val="0F1E3D"/>
          <w:sz w:val="26"/>
          <w:szCs w:val="26"/>
        </w:rPr>
        <w:t xml:space="preserve">판정 기준</w:t>
      </w:r>
    </w:p>
    <w:p>
      <w:pPr>
        <w:spacing w:after="140" w:line="300"/>
      </w:pPr>
      <w:r>
        <w:rPr>
          <w:rFonts w:ascii="Arial" w:cs="Arial" w:eastAsia="Arial" w:hAnsi="Arial"/>
          <w:b w:val="false"/>
          <w:bCs w:val="false"/>
          <w:i w:val="false"/>
          <w:iCs w:val="false"/>
          <w:color w:val="333333"/>
          <w:sz w:val="20"/>
          <w:szCs w:val="20"/>
        </w:rPr>
        <w:t xml:space="preserve">각 피드백을 아래 4개 필터로 순서대로 통과시켜 판정했습니다.</w:t>
      </w:r>
    </w:p>
    <w:p>
      <w:pPr>
        <w:pStyle w:val="ListParagraph"/>
        <w:numPr>
          <w:ilvl w:val="0"/>
          <w:numId w:val="2"/>
        </w:numPr>
        <w:spacing w:after="80" w:line="280"/>
      </w:pPr>
      <w:r>
        <w:rPr>
          <w:rFonts w:ascii="Arial" w:cs="Arial" w:eastAsia="Arial" w:hAnsi="Arial"/>
          <w:b w:val="false"/>
          <w:bCs w:val="false"/>
          <w:color w:val="333333"/>
          <w:sz w:val="20"/>
          <w:szCs w:val="20"/>
        </w:rPr>
        <w:t xml:space="preserve">F1. 청중 필터 — 오거나이저의 신청 결정·신뢰에 직접 영향을 주는가? 호텔 파트너 전용 내용이면 즉시 범위 밖.</w:t>
      </w:r>
    </w:p>
    <w:p>
      <w:pPr>
        <w:pStyle w:val="ListParagraph"/>
        <w:numPr>
          <w:ilvl w:val="0"/>
          <w:numId w:val="2"/>
        </w:numPr>
        <w:spacing w:after="80" w:line="280"/>
      </w:pPr>
      <w:r>
        <w:rPr>
          <w:rFonts w:ascii="Arial" w:cs="Arial" w:eastAsia="Arial" w:hAnsi="Arial"/>
          <w:b w:val="false"/>
          <w:bCs w:val="false"/>
          <w:color w:val="333333"/>
          <w:sz w:val="20"/>
          <w:szCs w:val="20"/>
        </w:rPr>
        <w:t xml:space="preserve">F2. 확정성 필터 — 반영하려면 미확정 비즈니스 결정(커미션율·결제흐름·대시보드 개발)이 선행되어야 하는가?</w:t>
      </w:r>
    </w:p>
    <w:p>
      <w:pPr>
        <w:pStyle w:val="ListParagraph"/>
        <w:numPr>
          <w:ilvl w:val="0"/>
          <w:numId w:val="2"/>
        </w:numPr>
        <w:spacing w:after="80" w:line="280"/>
      </w:pPr>
      <w:r>
        <w:rPr>
          <w:rFonts w:ascii="Arial" w:cs="Arial" w:eastAsia="Arial" w:hAnsi="Arial"/>
          <w:b w:val="false"/>
          <w:bCs w:val="false"/>
          <w:color w:val="333333"/>
          <w:sz w:val="20"/>
          <w:szCs w:val="20"/>
        </w:rPr>
        <w:t xml:space="preserve">F3. 정합성 필터 — 기존 확정 6개 정책 및 현재 폼·SOP 상태와 모순되지 않는가?</w:t>
      </w:r>
    </w:p>
    <w:p>
      <w:pPr>
        <w:pStyle w:val="ListParagraph"/>
        <w:numPr>
          <w:ilvl w:val="0"/>
          <w:numId w:val="2"/>
        </w:numPr>
        <w:spacing w:after="80" w:line="280"/>
      </w:pPr>
      <w:r>
        <w:rPr>
          <w:rFonts w:ascii="Arial" w:cs="Arial" w:eastAsia="Arial" w:hAnsi="Arial"/>
          <w:b w:val="false"/>
          <w:bCs w:val="false"/>
          <w:color w:val="333333"/>
          <w:sz w:val="20"/>
          <w:szCs w:val="20"/>
        </w:rPr>
        <w:t xml:space="preserve">F4. 이행가능성 필터 — 1인 운영 초기 체제에서 매 건 실제로 지킬 수 있는 약속인가?</w:t>
      </w:r>
    </w:p>
    <w:p>
      <w:pPr>
        <w:spacing w:after="140" w:line="300"/>
      </w:pPr>
      <w:r>
        <w:rPr>
          <w:rFonts w:ascii="Arial" w:cs="Arial" w:eastAsia="Arial" w:hAnsi="Arial"/>
          <w:b w:val="false"/>
          <w:bCs w:val="false"/>
          <w:i w:val="false"/>
          <w:iCs w:val="false"/>
          <w:color w:val="6B7794"/>
          <w:sz w:val="20"/>
          <w:szCs w:val="20"/>
        </w:rPr>
        <w:t xml:space="preserve">추가로 레이아웃 제약도 반영했습니다. 랜딩페이지의 통계 타일(3열)·정책 카드(2열)·프로세스 스텝(4열) 영역은 모두 고정 그리드라 카드·타일을 새로 추가하면 레이아웃이 깨집니다. 그래서 이번 반영은 신규 섹션 없이 기존 문구 교체와 FAQ 항목 추가(세로 리스트라 안전)로만 구성했습니다.</w:t>
      </w:r>
    </w:p>
    <w:p>
      <w:pPr>
        <w:pStyle w:val="Heading1"/>
        <w:pBdr>
          <w:bottom w:val="single" w:color="0B8F86" w:sz="6" w:space="6"/>
        </w:pBdr>
        <w:spacing w:after="160" w:before="360"/>
      </w:pPr>
      <w:r>
        <w:rPr>
          <w:rFonts w:ascii="Arial" w:cs="Arial" w:eastAsia="Arial" w:hAnsi="Arial"/>
          <w:b/>
          <w:bCs/>
          <w:color w:val="0F1E3D"/>
          <w:sz w:val="26"/>
          <w:szCs w:val="26"/>
        </w:rPr>
        <w:t xml:space="preserve">항목별 관련성 판정표</w:t>
      </w:r>
    </w:p>
    <w:tbl>
      <w:tblPr>
        <w:tblW w:type="dxa" w:w="9360"/>
        <w:tblBorders>
          <w:top w:val="single" w:color="E4E8F0" w:sz="2"/>
          <w:left w:val="single" w:color="E4E8F0" w:sz="2"/>
          <w:bottom w:val="single" w:color="E4E8F0" w:sz="2"/>
          <w:right w:val="single" w:color="E4E8F0" w:sz="2"/>
          <w:insideH w:val="single" w:color="E4E8F0" w:sz="2"/>
          <w:insideV w:val="single" w:color="E4E8F0" w:sz="2"/>
        </w:tblBorders>
      </w:tblPr>
      <w:tblGrid>
        <w:gridCol w:w="500"/>
        <w:gridCol w:w="2400"/>
        <w:gridCol w:w="2000"/>
        <w:gridCol w:w="3200"/>
        <w:gridCol w:w="1740"/>
      </w:tblGrid>
      <w:tr>
        <w:trPr>
          <w:tblHeader/>
        </w:trPr>
        <w:tc>
          <w:tcPr>
            <w:tcW w:type="dxa" w:w="5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w:t>
            </w:r>
          </w:p>
        </w:tc>
        <w:tc>
          <w:tcPr>
            <w:tcW w:type="dxa" w:w="24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원본 피드백</w:t>
            </w:r>
          </w:p>
        </w:tc>
        <w:tc>
          <w:tcPr>
            <w:tcW w:type="dxa" w:w="20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최종 판정</w:t>
            </w:r>
          </w:p>
        </w:tc>
        <w:tc>
          <w:tcPr>
            <w:tcW w:type="dxa" w:w="32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판정 근거</w:t>
            </w:r>
          </w:p>
        </w:tc>
        <w:tc>
          <w:tcPr>
            <w:tcW w:type="dxa" w:w="174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우선순위</w:t>
            </w:r>
          </w:p>
        </w:tc>
      </w:tr>
      <w:tr>
        <w:tc>
          <w:tcPr>
            <w:tcW w:type="dxa" w:w="5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1</w:t>
            </w:r>
          </w:p>
        </w:tc>
        <w:tc>
          <w:tcPr>
            <w:tcW w:type="dxa" w:w="24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수수료 구조 (호텔 12% 커미션)</w:t>
            </w:r>
          </w:p>
        </w:tc>
        <w:tc>
          <w:tcPr>
            <w:tcW w:type="dxa" w:w="20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부분 반영</w:t>
            </w:r>
          </w:p>
        </w:tc>
        <w:tc>
          <w:tcPr>
            <w:tcW w:type="dxa" w:w="32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커미션율은 미확정(F2)이라 언급하지 않되, 현재 "수수료 없음" 표현이 오거나이저 한정인지 모호해 F3 관점에서 명확화 필요</w:t>
            </w:r>
          </w:p>
        </w:tc>
        <w:tc>
          <w:tcPr>
            <w:tcW w:type="dxa" w:w="1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P1</w:t>
            </w:r>
          </w:p>
        </w:tc>
      </w:tr>
      <w:tr>
        <w:tc>
          <w:tcPr>
            <w:tcW w:type="dxa" w:w="5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2</w:t>
            </w:r>
          </w:p>
        </w:tc>
        <w:tc>
          <w:tcPr>
            <w:tcW w:type="dxa" w:w="24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결제/대금 흐름 (디포짓 60%)</w:t>
            </w:r>
          </w:p>
        </w:tc>
        <w:tc>
          <w:tcPr>
            <w:tcW w:type="dxa" w:w="20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제외</w:t>
            </w:r>
          </w:p>
        </w:tc>
        <w:tc>
          <w:tcPr>
            <w:tcW w:type="dxa" w:w="32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호텔 대상 메시지(F1 탈락)이며 결제 기능 자체가 없음(F2 탈락)</w:t>
            </w:r>
          </w:p>
        </w:tc>
        <w:tc>
          <w:tcPr>
            <w:tcW w:type="dxa" w:w="17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w:t>
            </w:r>
          </w:p>
        </w:tc>
      </w:tr>
      <w:tr>
        <w:tc>
          <w:tcPr>
            <w:tcW w:type="dxa" w:w="5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3</w:t>
            </w:r>
          </w:p>
        </w:tc>
        <w:tc>
          <w:tcPr>
            <w:tcW w:type="dxa" w:w="24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신뢰/사회적 증거 (실적 숫자)</w:t>
            </w:r>
          </w:p>
        </w:tc>
        <w:tc>
          <w:tcPr>
            <w:tcW w:type="dxa" w:w="20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축소 반영</w:t>
            </w:r>
          </w:p>
        </w:tc>
        <w:tc>
          <w:tcPr>
            <w:tcW w:type="dxa" w:w="32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실적 숫자는 초기 단계에 노출 불가. 신규 배지·섹션은 레이아웃 제약으로 신설하지 않고 기존 문구만 보강</w:t>
            </w:r>
          </w:p>
        </w:tc>
        <w:tc>
          <w:tcPr>
            <w:tcW w:type="dxa" w:w="1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P3</w:t>
            </w:r>
          </w:p>
        </w:tc>
      </w:tr>
      <w:tr>
        <w:tc>
          <w:tcPr>
            <w:tcW w:type="dxa" w:w="5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4</w:t>
            </w:r>
          </w:p>
        </w:tc>
        <w:tc>
          <w:tcPr>
            <w:tcW w:type="dxa" w:w="24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리드 품질 강조 (사람 검수 명시)</w:t>
            </w:r>
          </w:p>
        </w:tc>
        <w:tc>
          <w:tcPr>
            <w:tcW w:type="dxa" w:w="20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반영 (각도 전환)</w:t>
            </w:r>
          </w:p>
        </w:tc>
        <w:tc>
          <w:tcPr>
            <w:tcW w:type="dxa" w:w="32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SOP에 실재하는 절차(검증·익명화·검수)가 있어 F3 통과. 오거나이저에게 "회신 품질이 높다"는 메시지로 각도를 바꿔 반영</w:t>
            </w:r>
          </w:p>
        </w:tc>
        <w:tc>
          <w:tcPr>
            <w:tcW w:type="dxa" w:w="17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P1</w:t>
            </w:r>
          </w:p>
        </w:tc>
      </w:tr>
      <w:tr>
        <w:tc>
          <w:tcPr>
            <w:tcW w:type="dxa" w:w="5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5</w:t>
            </w:r>
          </w:p>
        </w:tc>
        <w:tc>
          <w:tcPr>
            <w:tcW w:type="dxa" w:w="24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파트너 온보딩 퍼널</w:t>
            </w:r>
          </w:p>
        </w:tc>
        <w:tc>
          <w:tcPr>
            <w:tcW w:type="dxa" w:w="20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제외</w:t>
            </w:r>
          </w:p>
        </w:tc>
        <w:tc>
          <w:tcPr>
            <w:tcW w:type="dxa" w:w="32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호텔 파트너 대상 세일즈 퍼널이며 관련 대시보드가 없음(F1·F2 탈락)</w:t>
            </w:r>
          </w:p>
        </w:tc>
        <w:tc>
          <w:tcPr>
            <w:tcW w:type="dxa" w:w="1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w:t>
            </w:r>
          </w:p>
        </w:tc>
      </w:tr>
    </w:tbl>
    <w:p>
      <w:pPr>
        <w:pStyle w:val="Heading1"/>
        <w:pBdr>
          <w:bottom w:val="single" w:color="0B8F86" w:sz="6" w:space="6"/>
        </w:pBdr>
        <w:spacing w:after="160" w:before="360"/>
      </w:pPr>
      <w:r>
        <w:rPr>
          <w:rFonts w:ascii="Arial" w:cs="Arial" w:eastAsia="Arial" w:hAnsi="Arial"/>
          <w:b/>
          <w:bCs/>
          <w:color w:val="0F1E3D"/>
          <w:sz w:val="26"/>
          <w:szCs w:val="26"/>
        </w:rPr>
        <w:t xml:space="preserve">반영안 A — 수수료 범위 명확화 (P1)</w:t>
      </w:r>
    </w:p>
    <w:p>
      <w:pPr>
        <w:spacing w:after="140" w:line="300"/>
      </w:pPr>
      <w:r>
        <w:rPr>
          <w:rFonts w:ascii="Arial" w:cs="Arial" w:eastAsia="Arial" w:hAnsi="Arial"/>
          <w:b w:val="false"/>
          <w:bCs w:val="false"/>
          <w:i w:val="false"/>
          <w:iCs w:val="false"/>
          <w:color w:val="333333"/>
          <w:sz w:val="20"/>
          <w:szCs w:val="20"/>
        </w:rPr>
        <w:t xml:space="preserve">원칙: "수수료 없음" → "오거나이저에게 청구되는 비용 없음"으로 주어를 명시합니다. 호텔 측 수익구조(커미션 도입 여부)는 서술하지 않으므로, 향후 호텔 커미션을 도입해도 이 카피는 수정할 필요가 없습니다.</w:t>
      </w:r>
    </w:p>
    <w:tbl>
      <w:tblPr>
        <w:tblW w:type="dxa" w:w="9360"/>
        <w:tblBorders>
          <w:top w:val="single" w:color="E4E8F0" w:sz="2"/>
          <w:left w:val="single" w:color="E4E8F0" w:sz="2"/>
          <w:bottom w:val="single" w:color="E4E8F0" w:sz="2"/>
          <w:right w:val="single" w:color="E4E8F0" w:sz="2"/>
          <w:insideH w:val="single" w:color="E4E8F0" w:sz="2"/>
          <w:insideV w:val="single" w:color="E4E8F0" w:sz="2"/>
        </w:tblBorders>
      </w:tblPr>
      <w:tblGrid>
        <w:gridCol w:w="1600"/>
        <w:gridCol w:w="3900"/>
        <w:gridCol w:w="3940"/>
      </w:tblGrid>
      <w:tr>
        <w:trPr>
          <w:tblHeader/>
        </w:trPr>
        <w:tc>
          <w:tcPr>
            <w:tcW w:type="dxa" w:w="16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위치</w:t>
            </w:r>
          </w:p>
        </w:tc>
        <w:tc>
          <w:tcPr>
            <w:tcW w:type="dxa" w:w="39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현재 카피</w:t>
            </w:r>
          </w:p>
        </w:tc>
        <w:tc>
          <w:tcPr>
            <w:tcW w:type="dxa" w:w="394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수정 후 카피</w:t>
            </w:r>
          </w:p>
        </w:tc>
      </w:tr>
      <w:tr>
        <w:tc>
          <w:tcPr>
            <w:tcW w:type="dxa" w:w="16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히어로 칩</w:t>
            </w:r>
          </w:p>
        </w:tc>
        <w:tc>
          <w:tcPr>
            <w:tcW w:type="dxa" w:w="39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해외 MICE 호텔 역경매 · 수수료 없음</w:t>
            </w:r>
          </w:p>
        </w:tc>
        <w:tc>
          <w:tcPr>
            <w:tcW w:type="dxa" w:w="39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해외 MICE 호텔 역경매 · 오거나이저 수수료 0원</w:t>
            </w:r>
          </w:p>
        </w:tc>
      </w:tr>
      <w:tr>
        <w:tc>
          <w:tcPr>
            <w:tcW w:type="dxa" w:w="16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히어로 리드 문구</w:t>
            </w:r>
          </w:p>
        </w:tc>
        <w:tc>
          <w:tcPr>
            <w:tcW w:type="dxa" w:w="39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수수료 없이, 영업일 기준 3일 이내에 회신드립니다.</w:t>
            </w:r>
          </w:p>
        </w:tc>
        <w:tc>
          <w:tcPr>
            <w:tcW w:type="dxa" w:w="39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오거나이저에게 청구되는 비용 없이, 영업일 기준 3일 이내에 회신드립니다.</w:t>
            </w:r>
          </w:p>
        </w:tc>
      </w:tr>
      <w:tr>
        <w:tc>
          <w:tcPr>
            <w:tcW w:type="dxa" w:w="16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정책 통계 타일</w:t>
            </w:r>
          </w:p>
        </w:tc>
        <w:tc>
          <w:tcPr>
            <w:tcW w:type="dxa" w:w="39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별도의 수수료가 없습니다</w:t>
            </w:r>
          </w:p>
        </w:tc>
        <w:tc>
          <w:tcPr>
            <w:tcW w:type="dxa" w:w="39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오거나이저에게 청구되는 비용이 없습니다</w:t>
            </w:r>
          </w:p>
        </w:tc>
      </w:tr>
      <w:tr>
        <w:tc>
          <w:tcPr>
            <w:tcW w:type="dxa" w:w="16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등록 폼 상단 리드</w:t>
            </w:r>
          </w:p>
        </w:tc>
        <w:tc>
          <w:tcPr>
            <w:tcW w:type="dxa" w:w="39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수수료 없이, 영업일 기준 3일 이내에 …</w:t>
            </w:r>
          </w:p>
        </w:tc>
        <w:tc>
          <w:tcPr>
            <w:tcW w:type="dxa" w:w="39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오거나이저에게 청구되는 비용 없이, 영업일 기준 3일 이내에 …</w:t>
            </w:r>
          </w:p>
        </w:tc>
      </w:tr>
      <w:tr>
        <w:tc>
          <w:tcPr>
            <w:tcW w:type="dxa" w:w="16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푸터 안내</w:t>
            </w:r>
          </w:p>
        </w:tc>
        <w:tc>
          <w:tcPr>
            <w:tcW w:type="dxa" w:w="39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해외 호텔 대상 · 수수료 없음 · …</w:t>
            </w:r>
          </w:p>
        </w:tc>
        <w:tc>
          <w:tcPr>
            <w:tcW w:type="dxa" w:w="39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해외 호텔 대상 · 오거나이저 수수료 없음 · …</w:t>
            </w:r>
          </w:p>
        </w:tc>
      </w:tr>
      <w:tr>
        <w:tc>
          <w:tcPr>
            <w:tcW w:type="dxa" w:w="16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타이틀/메타 설명</w:t>
            </w:r>
          </w:p>
        </w:tc>
        <w:tc>
          <w:tcPr>
            <w:tcW w:type="dxa" w:w="39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수수료 없음 / 수수료 없이</w:t>
            </w:r>
          </w:p>
        </w:tc>
        <w:tc>
          <w:tcPr>
            <w:tcW w:type="dxa" w:w="39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동일 원칙으로 치환 (SEO 문구 일관성 유지)</w:t>
            </w:r>
          </w:p>
        </w:tc>
      </w:tr>
    </w:tbl>
    <w:p>
      <w:pPr>
        <w:spacing w:after="140" w:line="300"/>
      </w:pPr>
      <w:r>
        <w:rPr>
          <w:rFonts w:ascii="Arial" w:cs="Arial" w:eastAsia="Arial" w:hAnsi="Arial"/>
          <w:b/>
          <w:bCs/>
          <w:i w:val="false"/>
          <w:iCs w:val="false"/>
          <w:color w:val="0F1E3D"/>
          <w:sz w:val="20"/>
          <w:szCs w:val="20"/>
        </w:rPr>
        <w:t xml:space="preserve">FAQ 교체안</w:t>
      </w:r>
    </w:p>
    <w:p>
      <w:pPr>
        <w:spacing w:after="80" w:line="280"/>
      </w:pPr>
      <w:r>
        <w:rPr>
          <w:rFonts w:ascii="Arial" w:cs="Arial" w:eastAsia="Arial" w:hAnsi="Arial"/>
          <w:b/>
          <w:bCs/>
          <w:color w:val="0F1E3D"/>
          <w:sz w:val="20"/>
          <w:szCs w:val="20"/>
        </w:rPr>
        <w:t xml:space="preserve">질문 (교체)  </w:t>
      </w:r>
      <w:r>
        <w:rPr>
          <w:rFonts w:ascii="Arial" w:cs="Arial" w:eastAsia="Arial" w:hAnsi="Arial"/>
          <w:color w:val="333333"/>
          <w:sz w:val="20"/>
          <w:szCs w:val="20"/>
        </w:rPr>
        <w:t xml:space="preserve">정말 무료인가요? 나중에 비용이 청구되나요?</w:t>
      </w:r>
    </w:p>
    <w:p>
      <w:pPr>
        <w:spacing w:after="80" w:line="280"/>
      </w:pPr>
      <w:r>
        <w:rPr>
          <w:rFonts w:ascii="Arial" w:cs="Arial" w:eastAsia="Arial" w:hAnsi="Arial"/>
          <w:b/>
          <w:bCs/>
          <w:color w:val="0F1E3D"/>
          <w:sz w:val="20"/>
          <w:szCs w:val="20"/>
        </w:rPr>
        <w:t xml:space="preserve">답변 (교체)  </w:t>
      </w:r>
      <w:r>
        <w:rPr>
          <w:rFonts w:ascii="Arial" w:cs="Arial" w:eastAsia="Arial" w:hAnsi="Arial"/>
          <w:color w:val="333333"/>
          <w:sz w:val="20"/>
          <w:szCs w:val="20"/>
        </w:rPr>
        <w:t xml:space="preserve">네. 견적 요청부터 회신까지 오거나이저에게 청구되는 비용은 없습니다. 이용료·중개 수수료·성사 수수료 어느 명목으로도 청구하지 않습니다.</w:t>
      </w:r>
    </w:p>
    <w:tbl>
      <w:tblPr>
        <w:tblW w:type="dxa" w:w="9360"/>
        <w:tblBorders>
          <w:top w:val="single" w:color="B3261E" w:sz="4"/>
          <w:left w:val="single" w:color="B3261E" w:sz="4"/>
          <w:bottom w:val="single" w:color="B3261E" w:sz="4"/>
          <w:right w:val="single" w:color="B3261E" w:sz="4"/>
          <w:insideH w:val="none" w:color="FFFFFF" w:sz="0"/>
          <w:insideV w:val="none" w:color="FFFFFF" w:sz="0"/>
        </w:tblBorders>
      </w:tblPr>
      <w:tblGrid>
        <w:gridCol w:w="9360"/>
      </w:tblGrid>
      <w:tr>
        <w:tc>
          <w:tcPr>
            <w:tcW w:type="dxa" w:w="9360"/>
            <w:shd w:fill="FBEAE9" w:color="auto" w:val="clear"/>
            <w:tcMar>
              <w:top w:type="dxa" w:w="160"/>
              <w:left w:type="dxa" w:w="200"/>
              <w:bottom w:type="dxa" w:w="160"/>
              <w:right w:type="dxa" w:w="200"/>
            </w:tcMar>
          </w:tcPr>
          <w:p>
            <w:pPr>
              <w:spacing w:after="100"/>
            </w:pPr>
            <w:r>
              <w:rPr>
                <w:rFonts w:ascii="Arial" w:cs="Arial" w:eastAsia="Arial" w:hAnsi="Arial"/>
                <w:b/>
                <w:bCs/>
                <w:color w:val="B3261E"/>
                <w:sz w:val="20"/>
                <w:szCs w:val="20"/>
              </w:rPr>
              <w:t xml:space="preserve">채택하지 않은 문구 — "견적가는 호텔이 제시한 금액 그대로 전달됩니다"</w:t>
            </w:r>
          </w:p>
          <w:p>
            <w:pPr>
              <w:spacing w:after="60" w:line="280"/>
            </w:pPr>
            <w:r>
              <w:rPr>
                <w:rFonts w:ascii="Arial" w:cs="Arial" w:eastAsia="Arial" w:hAnsi="Arial"/>
                <w:color w:val="6B1E18"/>
                <w:sz w:val="19"/>
                <w:szCs w:val="19"/>
              </w:rPr>
              <w:t xml:space="preserve">이 문구는 사실상 "마진을 얹지 않는다"는 가격 구성 약속입니다. 현재 어떤 정책·SOP에도 근거가 없는 미확정 사실이며, 향후 호텔에 커미션을 부과하는 모델을 도입하면(피드백 1의 원래 제안) 이 문구가 소급적으로 허위가 됩니다.</w:t>
            </w:r>
          </w:p>
          <w:p>
            <w:pPr>
              <w:spacing w:after="60" w:line="280"/>
            </w:pPr>
            <w:r>
              <w:rPr>
                <w:rFonts w:ascii="Arial" w:cs="Arial" w:eastAsia="Arial" w:hAnsi="Arial"/>
                <w:color w:val="6B1E18"/>
                <w:sz w:val="19"/>
                <w:szCs w:val="19"/>
              </w:rPr>
              <w:t xml:space="preserve">그래서 이번 반영에서는 "오거나이저에게 무엇을 청구하지 않는지"만 단언하고, "가격이 어떻게 구성되는지"는 언급하지 않는 것을 원칙으로 채택했습니다.</w:t>
            </w:r>
          </w:p>
        </w:tc>
      </w:tr>
    </w:tbl>
    <w:p>
      <w:pPr>
        <w:pStyle w:val="Heading1"/>
        <w:pBdr>
          <w:bottom w:val="single" w:color="0B8F86" w:sz="6" w:space="6"/>
        </w:pBdr>
        <w:spacing w:after="160" w:before="360"/>
      </w:pPr>
      <w:r>
        <w:rPr>
          <w:rFonts w:ascii="Arial" w:cs="Arial" w:eastAsia="Arial" w:hAnsi="Arial"/>
          <w:b/>
          <w:bCs/>
          <w:color w:val="0F1E3D"/>
          <w:sz w:val="26"/>
          <w:szCs w:val="26"/>
        </w:rPr>
        <w:t xml:space="preserve">반영안 B — 사람이 확인 후 전달 = 회신 품질 (P1)</w:t>
      </w:r>
    </w:p>
    <w:p>
      <w:pPr>
        <w:spacing w:after="140" w:line="300"/>
      </w:pPr>
      <w:r>
        <w:rPr>
          <w:rFonts w:ascii="Arial" w:cs="Arial" w:eastAsia="Arial" w:hAnsi="Arial"/>
          <w:b w:val="false"/>
          <w:bCs w:val="false"/>
          <w:i w:val="false"/>
          <w:iCs w:val="false"/>
          <w:color w:val="333333"/>
          <w:sz w:val="20"/>
          <w:szCs w:val="20"/>
        </w:rPr>
        <w:t xml:space="preserve">Naboo의 "vetted by advisor(어드바이저가 검증)" 메시지는 원래 호텔을 설득하기 위한 것입니다. 오거나이저 관점으로 각도를 바꾸면 "내가 보내는 요청이 사람 손을 거쳐 정리되므로, 받는 회신의 품질이 높다"는 메시지가 됩니다. 아래 문구는 모두 SOP 2·3·6단계(검증/반려, 익명화, 회신 취합 시 금액·통화·일자 재확인)에 실제로 있는 절차만 근거로 사용했습니다.</w:t>
      </w:r>
    </w:p>
    <w:tbl>
      <w:tblPr>
        <w:tblW w:type="dxa" w:w="9360"/>
        <w:tblBorders>
          <w:top w:val="single" w:color="E4E8F0" w:sz="2"/>
          <w:left w:val="single" w:color="E4E8F0" w:sz="2"/>
          <w:bottom w:val="single" w:color="E4E8F0" w:sz="2"/>
          <w:right w:val="single" w:color="E4E8F0" w:sz="2"/>
          <w:insideH w:val="single" w:color="E4E8F0" w:sz="2"/>
          <w:insideV w:val="single" w:color="E4E8F0" w:sz="2"/>
        </w:tblBorders>
      </w:tblPr>
      <w:tblGrid>
        <w:gridCol w:w="1600"/>
        <w:gridCol w:w="3900"/>
        <w:gridCol w:w="3940"/>
      </w:tblGrid>
      <w:tr>
        <w:trPr>
          <w:tblHeader/>
        </w:trPr>
        <w:tc>
          <w:tcPr>
            <w:tcW w:type="dxa" w:w="16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위치</w:t>
            </w:r>
          </w:p>
        </w:tc>
        <w:tc>
          <w:tcPr>
            <w:tcW w:type="dxa" w:w="39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현재 카피</w:t>
            </w:r>
          </w:p>
        </w:tc>
        <w:tc>
          <w:tcPr>
            <w:tcW w:type="dxa" w:w="394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수정 후 카피</w:t>
            </w:r>
          </w:p>
        </w:tc>
      </w:tr>
      <w:tr>
        <w:tc>
          <w:tcPr>
            <w:tcW w:type="dxa" w:w="16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"어떻게 진행되나요" 02단계 제목</w:t>
            </w:r>
          </w:p>
        </w:tc>
        <w:tc>
          <w:tcPr>
            <w:tcW w:type="dxa" w:w="39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조건에 맞는 해외 호텔에 전달</w:t>
            </w:r>
          </w:p>
        </w:tc>
        <w:tc>
          <w:tcPr>
            <w:tcW w:type="dxa" w:w="39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담당자 확인 후 해외 호텔에 전달</w:t>
            </w:r>
          </w:p>
        </w:tc>
      </w:tr>
      <w:tr>
        <w:tc>
          <w:tcPr>
            <w:tcW w:type="dxa" w:w="16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"어떻게 진행되나요" 02단계 설명</w:t>
            </w:r>
          </w:p>
        </w:tc>
        <w:tc>
          <w:tcPr>
            <w:tcW w:type="dxa" w:w="39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요건에 맞는 해외 호텔에 동일한 요건서를 전달합니다. 회사명과 예산은 비공개로 처리됩니다.</w:t>
            </w:r>
          </w:p>
        </w:tc>
        <w:tc>
          <w:tcPr>
            <w:tcW w:type="dxa" w:w="39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접수된 내용은 담당자가 요건을 확인한 뒤 표준 요건서로 옮겨 해외 호텔에 전달합니다. 자동 전달이 아니라 사람이 한 번 정리하는 방식이라, 되묻는 과정이 줄어듭니다. 회사명과 예산은 비공개로 처리됩니다.</w:t>
            </w:r>
          </w:p>
        </w:tc>
      </w:tr>
      <w:tr>
        <w:tc>
          <w:tcPr>
            <w:tcW w:type="dxa" w:w="16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등록 성공 화면</w:t>
            </w:r>
          </w:p>
        </w:tc>
        <w:tc>
          <w:tcPr>
            <w:tcW w:type="dxa" w:w="39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영업일 기준 3일 이내에 담당자가 이메일로 회신드립니다.</w:t>
            </w:r>
          </w:p>
        </w:tc>
        <w:tc>
          <w:tcPr>
            <w:tcW w:type="dxa" w:w="39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담당자가 요건을 확인한 뒤 호텔에 전달하며, 영업일 기준 3일 이내에 이메일로 회신드립니다.</w:t>
            </w:r>
          </w:p>
        </w:tc>
      </w:tr>
      <w:tr>
        <w:tc>
          <w:tcPr>
            <w:tcW w:type="dxa" w:w="16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정책 콜아웃(일정 조건)</w:t>
            </w:r>
          </w:p>
        </w:tc>
        <w:tc>
          <w:tcPr>
            <w:tcW w:type="dxa" w:w="39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일정이 확정된 해외 행사만 견적 요청이 가능합니다. 일정이 정해지는 대로 다시 요청해 주세요.</w:t>
            </w:r>
          </w:p>
        </w:tc>
        <w:tc>
          <w:tcPr>
            <w:tcW w:type="dxa" w:w="39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(문장 끝에 추가) 요건이 확인되지 않은 건은 보완을 요청드릴 수 있습니다.</w:t>
            </w:r>
          </w:p>
        </w:tc>
      </w:tr>
    </w:tbl>
    <w:p>
      <w:pPr>
        <w:spacing w:after="140" w:line="300"/>
      </w:pPr>
      <w:r>
        <w:rPr>
          <w:rFonts w:ascii="Arial" w:cs="Arial" w:eastAsia="Arial" w:hAnsi="Arial"/>
          <w:b/>
          <w:bCs/>
          <w:i w:val="false"/>
          <w:iCs w:val="false"/>
          <w:color w:val="0F1E3D"/>
          <w:sz w:val="20"/>
          <w:szCs w:val="20"/>
        </w:rPr>
        <w:t xml:space="preserve">FAQ 신규 추가안</w:t>
      </w:r>
    </w:p>
    <w:p>
      <w:pPr>
        <w:spacing w:after="80" w:line="280"/>
      </w:pPr>
      <w:r>
        <w:rPr>
          <w:rFonts w:ascii="Arial" w:cs="Arial" w:eastAsia="Arial" w:hAnsi="Arial"/>
          <w:b/>
          <w:bCs/>
          <w:color w:val="0F1E3D"/>
          <w:sz w:val="20"/>
          <w:szCs w:val="20"/>
        </w:rPr>
        <w:t xml:space="preserve">질문 (신규)  </w:t>
      </w:r>
      <w:r>
        <w:rPr>
          <w:rFonts w:ascii="Arial" w:cs="Arial" w:eastAsia="Arial" w:hAnsi="Arial"/>
          <w:color w:val="333333"/>
          <w:sz w:val="20"/>
          <w:szCs w:val="20"/>
        </w:rPr>
        <w:t xml:space="preserve">요청하면 어떤 과정으로 처리되나요?</w:t>
      </w:r>
    </w:p>
    <w:p>
      <w:pPr>
        <w:spacing w:after="80" w:line="280"/>
      </w:pPr>
      <w:r>
        <w:rPr>
          <w:rFonts w:ascii="Arial" w:cs="Arial" w:eastAsia="Arial" w:hAnsi="Arial"/>
          <w:b/>
          <w:bCs/>
          <w:color w:val="0F1E3D"/>
          <w:sz w:val="20"/>
          <w:szCs w:val="20"/>
        </w:rPr>
        <w:t xml:space="preserve">답변 (신규)  </w:t>
      </w:r>
      <w:r>
        <w:rPr>
          <w:rFonts w:ascii="Arial" w:cs="Arial" w:eastAsia="Arial" w:hAnsi="Arial"/>
          <w:color w:val="333333"/>
          <w:sz w:val="20"/>
          <w:szCs w:val="20"/>
        </w:rPr>
        <w:t xml:space="preserve">접수 → 담당자 요건 확인 → 표준 요건서(회사명·예산 제외)로 해외 호텔 발송 → 도착한 제안을 같은 항목 구조로 정리 → 영업일 기준 3일 이내 회신 순으로 진행됩니다. 정리 단계에서 금액·통화·일자 표기를 한 번 더 확인합니다.</w:t>
      </w:r>
    </w:p>
    <w:tbl>
      <w:tblPr>
        <w:tblW w:type="dxa" w:w="9360"/>
        <w:tblBorders>
          <w:top w:val="single" w:color="B8790A" w:sz="4"/>
          <w:left w:val="single" w:color="B8790A" w:sz="4"/>
          <w:bottom w:val="single" w:color="B8790A" w:sz="4"/>
          <w:right w:val="single" w:color="B8790A" w:sz="4"/>
          <w:insideH w:val="none" w:color="FFFFFF" w:sz="0"/>
          <w:insideV w:val="none" w:color="FFFFFF" w:sz="0"/>
        </w:tblBorders>
      </w:tblPr>
      <w:tblGrid>
        <w:gridCol w:w="9360"/>
      </w:tblGrid>
      <w:tr>
        <w:tc>
          <w:tcPr>
            <w:tcW w:type="dxa" w:w="9360"/>
            <w:shd w:fill="FFF3DC" w:color="auto" w:val="clear"/>
            <w:tcMar>
              <w:top w:type="dxa" w:w="160"/>
              <w:left w:type="dxa" w:w="200"/>
              <w:bottom w:type="dxa" w:w="160"/>
              <w:right w:type="dxa" w:w="200"/>
            </w:tcMar>
          </w:tcPr>
          <w:p>
            <w:pPr>
              <w:spacing w:after="100"/>
            </w:pPr>
            <w:r>
              <w:rPr>
                <w:rFonts w:ascii="Arial" w:cs="Arial" w:eastAsia="Arial" w:hAnsi="Arial"/>
                <w:b/>
                <w:bCs/>
                <w:color w:val="B8790A"/>
                <w:sz w:val="20"/>
                <w:szCs w:val="20"/>
              </w:rPr>
              <w:t xml:space="preserve">채택하지 않은 표현 — "전담 매니저", "MICE 전문 어드바이저", "검증된 담당자만 접수"</w:t>
            </w:r>
          </w:p>
          <w:p>
            <w:pPr>
              <w:spacing w:after="60" w:line="280"/>
            </w:pPr>
            <w:r>
              <w:rPr>
                <w:rFonts w:ascii="Arial" w:cs="Arial" w:eastAsia="Arial" w:hAnsi="Arial"/>
                <w:color w:val="6B4A05"/>
                <w:sz w:val="19"/>
                <w:szCs w:val="19"/>
              </w:rPr>
              <w:t xml:space="preserve">SOP에는 "1인 운영 초기에는 운영 담당자가 소싱 담당자를 겸임할 수 있다"고만 되어 있을 뿐, 전담 인력 배정이나 오거나이저 자격 심사 절차는 없습니다.</w:t>
            </w:r>
          </w:p>
          <w:p>
            <w:pPr>
              <w:spacing w:after="60" w:line="280"/>
            </w:pPr>
            <w:r>
              <w:rPr>
                <w:rFonts w:ascii="Arial" w:cs="Arial" w:eastAsia="Arial" w:hAnsi="Arial"/>
                <w:color w:val="6B4A05"/>
                <w:sz w:val="19"/>
                <w:szCs w:val="19"/>
              </w:rPr>
              <w:t xml:space="preserve">"전담 매니저가 배정된다"거나 "검증된 담당자만 접수한다"는 표현은 실제로 없는 절차를 약속하는 것이며, 특히 "검증된 담당자만 접수"는 오거나이저 쪽에 자격 심사가 있는 것처럼 읽혀 접수 문턱을 높이고 전환율을 떨어뜨릴 수 있습니다.</w:t>
            </w:r>
          </w:p>
          <w:p>
            <w:pPr>
              <w:spacing w:after="60" w:line="280"/>
            </w:pPr>
            <w:r>
              <w:rPr>
                <w:rFonts w:ascii="Arial" w:cs="Arial" w:eastAsia="Arial" w:hAnsi="Arial"/>
                <w:color w:val="6B4A05"/>
                <w:sz w:val="19"/>
                <w:szCs w:val="19"/>
              </w:rPr>
              <w:t xml:space="preserve">그래서 "누가" 확인하는지(인력 구조)가 아니라 "어떤 절차"를 거치는지(행위)만 서술하는 것을 원칙으로 채택했습니다.</w:t>
            </w:r>
          </w:p>
        </w:tc>
      </w:tr>
    </w:tbl>
    <w:p>
      <w:pPr>
        <w:pStyle w:val="Heading1"/>
        <w:pBdr>
          <w:bottom w:val="single" w:color="0B8F86" w:sz="6" w:space="6"/>
        </w:pBdr>
        <w:spacing w:after="160" w:before="360"/>
      </w:pPr>
      <w:r>
        <w:rPr>
          <w:rFonts w:ascii="Arial" w:cs="Arial" w:eastAsia="Arial" w:hAnsi="Arial"/>
          <w:b/>
          <w:bCs/>
          <w:color w:val="0F1E3D"/>
          <w:sz w:val="26"/>
          <w:szCs w:val="26"/>
        </w:rPr>
        <w:t xml:space="preserve">채택 금지 문구</w:t>
      </w:r>
    </w:p>
    <w:p>
      <w:pPr>
        <w:spacing w:after="140" w:line="300"/>
      </w:pPr>
      <w:r>
        <w:rPr>
          <w:rFonts w:ascii="Arial" w:cs="Arial" w:eastAsia="Arial" w:hAnsi="Arial"/>
          <w:b w:val="false"/>
          <w:bCs w:val="false"/>
          <w:i w:val="false"/>
          <w:iCs w:val="false"/>
          <w:color w:val="333333"/>
          <w:sz w:val="20"/>
          <w:szCs w:val="20"/>
        </w:rPr>
        <w:t xml:space="preserve">실행 시 아래 표현은 위 두 가지 이유(미확정 사실 단언, 인력 현실과 불일치)로 사용하지 않습니다.</w:t>
      </w:r>
    </w:p>
    <w:tbl>
      <w:tblPr>
        <w:tblW w:type="dxa" w:w="9360"/>
        <w:tblBorders>
          <w:top w:val="single" w:color="E4E8F0" w:sz="2"/>
          <w:left w:val="single" w:color="E4E8F0" w:sz="2"/>
          <w:bottom w:val="single" w:color="E4E8F0" w:sz="2"/>
          <w:right w:val="single" w:color="E4E8F0" w:sz="2"/>
          <w:insideH w:val="single" w:color="E4E8F0" w:sz="2"/>
          <w:insideV w:val="single" w:color="E4E8F0" w:sz="2"/>
        </w:tblBorders>
      </w:tblPr>
      <w:tblGrid>
        <w:gridCol w:w="3700"/>
        <w:gridCol w:w="5740"/>
      </w:tblGrid>
      <w:tr>
        <w:trPr>
          <w:tblHeader/>
        </w:trPr>
        <w:tc>
          <w:tcPr>
            <w:tcW w:type="dxa" w:w="37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금지 문구</w:t>
            </w:r>
          </w:p>
        </w:tc>
        <w:tc>
          <w:tcPr>
            <w:tcW w:type="dxa" w:w="574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사유</w:t>
            </w:r>
          </w:p>
        </w:tc>
      </w:tr>
      <w:tr>
        <w:tc>
          <w:tcPr>
            <w:tcW w:type="dxa" w:w="37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견적가는 호텔이 제시한 금액 그대로 전달됩니다</w:t>
            </w:r>
          </w:p>
        </w:tc>
        <w:tc>
          <w:tcPr>
            <w:tcW w:type="dxa" w:w="5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미확정 사실 + 향후 호텔 커미션 모델과 충돌</w:t>
            </w:r>
          </w:p>
        </w:tc>
      </w:tr>
      <w:tr>
        <w:tc>
          <w:tcPr>
            <w:tcW w:type="dxa" w:w="37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마진을 얹지 않습니다 / 중간 마진 0</w:t>
            </w:r>
          </w:p>
        </w:tc>
        <w:tc>
          <w:tcPr>
            <w:tcW w:type="dxa" w:w="57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위와 동일한 가격 구성 단언</w:t>
            </w:r>
          </w:p>
        </w:tc>
      </w:tr>
      <w:tr>
        <w:tc>
          <w:tcPr>
            <w:tcW w:type="dxa" w:w="37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전담 매니저가 배정됩니다</w:t>
            </w:r>
          </w:p>
        </w:tc>
        <w:tc>
          <w:tcPr>
            <w:tcW w:type="dxa" w:w="5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1인 운영 체제이며 SOP에 근거 없음</w:t>
            </w:r>
          </w:p>
        </w:tc>
      </w:tr>
      <w:tr>
        <w:tc>
          <w:tcPr>
            <w:tcW w:type="dxa" w:w="37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검증된 담당자만 접수합니다</w:t>
            </w:r>
          </w:p>
        </w:tc>
        <w:tc>
          <w:tcPr>
            <w:tcW w:type="dxa" w:w="57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자격 심사 절차가 실제로 없고, 접수 문턱을 높여 전환율 저해</w:t>
            </w:r>
          </w:p>
        </w:tc>
      </w:tr>
      <w:tr>
        <w:tc>
          <w:tcPr>
            <w:tcW w:type="dxa" w:w="37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MICE 전문 어드바이저가 검수</w:t>
            </w:r>
          </w:p>
        </w:tc>
        <w:tc>
          <w:tcPr>
            <w:tcW w:type="dxa" w:w="5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자격을 주장할 근거 없음</w:t>
            </w:r>
          </w:p>
        </w:tc>
      </w:tr>
      <w:tr>
        <w:tc>
          <w:tcPr>
            <w:tcW w:type="dxa" w:w="37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100% 검증된 요청 / 품질 보장</w:t>
            </w:r>
          </w:p>
        </w:tc>
        <w:tc>
          <w:tcPr>
            <w:tcW w:type="dxa" w:w="57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수치·보장형 표현은 근거 없이 사용 불가</w:t>
            </w:r>
          </w:p>
        </w:tc>
      </w:tr>
      <w:tr>
        <w:tc>
          <w:tcPr>
            <w:tcW w:type="dxa" w:w="37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호텔은 12% 커미션을 부담합니다</w:t>
            </w:r>
          </w:p>
        </w:tc>
        <w:tc>
          <w:tcPr>
            <w:tcW w:type="dxa" w:w="57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오거나이저 페이지 범위 밖 + 비즈니스 모델 미확정</w:t>
            </w:r>
          </w:p>
        </w:tc>
      </w:tr>
    </w:tbl>
    <w:p>
      <w:pPr>
        <w:pStyle w:val="Heading1"/>
        <w:pBdr>
          <w:bottom w:val="single" w:color="0B8F86" w:sz="6" w:space="6"/>
        </w:pBdr>
        <w:spacing w:after="160" w:before="360"/>
      </w:pPr>
      <w:r>
        <w:rPr>
          <w:rFonts w:ascii="Arial" w:cs="Arial" w:eastAsia="Arial" w:hAnsi="Arial"/>
          <w:b/>
          <w:bCs/>
          <w:color w:val="0F1E3D"/>
          <w:sz w:val="26"/>
          <w:szCs w:val="26"/>
        </w:rPr>
        <w:t xml:space="preserve">제외 항목과 이관처</w:t>
      </w:r>
    </w:p>
    <w:p>
      <w:pPr>
        <w:spacing w:after="140" w:line="300"/>
      </w:pPr>
      <w:r>
        <w:rPr>
          <w:rFonts w:ascii="Arial" w:cs="Arial" w:eastAsia="Arial" w:hAnsi="Arial"/>
          <w:b w:val="false"/>
          <w:bCs w:val="false"/>
          <w:i w:val="false"/>
          <w:iCs w:val="false"/>
          <w:color w:val="333333"/>
          <w:sz w:val="20"/>
          <w:szCs w:val="20"/>
        </w:rPr>
        <w:t xml:space="preserve">아래 항목은 버리는 것이 아니라, 오거나이저 페이지가 아닌 다른 문서·시점에서 다룰 항목임을 명확히 합니다.</w:t>
      </w:r>
    </w:p>
    <w:tbl>
      <w:tblPr>
        <w:tblW w:type="dxa" w:w="9360"/>
        <w:tblBorders>
          <w:top w:val="single" w:color="E4E8F0" w:sz="2"/>
          <w:left w:val="single" w:color="E4E8F0" w:sz="2"/>
          <w:bottom w:val="single" w:color="E4E8F0" w:sz="2"/>
          <w:right w:val="single" w:color="E4E8F0" w:sz="2"/>
          <w:insideH w:val="single" w:color="E4E8F0" w:sz="2"/>
          <w:insideV w:val="single" w:color="E4E8F0" w:sz="2"/>
        </w:tblBorders>
      </w:tblPr>
      <w:tblGrid>
        <w:gridCol w:w="4200"/>
        <w:gridCol w:w="5240"/>
      </w:tblGrid>
      <w:tr>
        <w:trPr>
          <w:tblHeader/>
        </w:trPr>
        <w:tc>
          <w:tcPr>
            <w:tcW w:type="dxa" w:w="420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항목</w:t>
            </w:r>
          </w:p>
        </w:tc>
        <w:tc>
          <w:tcPr>
            <w:tcW w:type="dxa" w:w="5240"/>
            <w:shd w:fill="0F1E3D" w:color="auto" w:val="clear"/>
            <w:tcMar>
              <w:top w:type="dxa" w:w="100"/>
              <w:left w:type="dxa" w:w="120"/>
              <w:bottom w:type="dxa" w:w="100"/>
              <w:right w:type="dxa" w:w="120"/>
            </w:tcMar>
            <w:vAlign w:val="center"/>
          </w:tcPr>
          <w:p>
            <w:pPr>
              <w:spacing w:after="0" w:line="260"/>
            </w:pPr>
            <w:r>
              <w:rPr>
                <w:rFonts w:ascii="Arial" w:cs="Arial" w:eastAsia="Arial" w:hAnsi="Arial"/>
                <w:b/>
                <w:bCs/>
                <w:color w:val="FFFFFF"/>
                <w:sz w:val="18"/>
                <w:szCs w:val="18"/>
              </w:rPr>
              <w:t xml:space="preserve">이관처</w:t>
            </w:r>
          </w:p>
        </w:tc>
      </w:tr>
      <w:tr>
        <w:tc>
          <w:tcPr>
            <w:tcW w:type="dxa" w:w="42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결제/대금 흐름 (디포짓 60%, 잔금 D-30, "미수금 없음")</w:t>
            </w:r>
          </w:p>
        </w:tc>
        <w:tc>
          <w:tcPr>
            <w:tcW w:type="dxa" w:w="52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호텔(공급자) 온보딩·계약 절차를 다룰 별도 SOP 및 향후 호텔 파트너용 소개 자료. 오거나이저 페이지에는 반영하지 않음</w:t>
            </w:r>
          </w:p>
        </w:tc>
      </w:tr>
      <w:tr>
        <w:tc>
          <w:tcPr>
            <w:tcW w:type="dxa" w:w="42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파트너 온보딩 퍼널 (파트너 공간 활성화 → 매니저 콜 → 아시아 라우팅 확장)</w:t>
            </w:r>
          </w:p>
        </w:tc>
        <w:tc>
          <w:tcPr>
            <w:tcW w:type="dxa" w:w="52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위와 동일 문서 + 향후 호텔 파트너 대시보드 기획 시점. 현재 랜딩페이지의 "공급자 등록은 별도로 준비 중" FAQ 항목은 이번에 변경하지 않음</w:t>
            </w:r>
          </w:p>
        </w:tc>
      </w:tr>
      <w:tr>
        <w:tc>
          <w:tcPr>
            <w:tcW w:type="dxa" w:w="420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수수료 구조 중 호텔 커미션 요율(12%/10%)</w:t>
            </w:r>
          </w:p>
        </w:tc>
        <w:tc>
          <w:tcPr>
            <w:tcW w:type="dxa" w:w="5240"/>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비즈니스 모델 확정 안건으로 별도 상신. 확정 전까지 오거나이저·호텔 어느 대외 자료에도 표기하지 않음</w:t>
            </w:r>
          </w:p>
        </w:tc>
      </w:tr>
      <w:tr>
        <w:tc>
          <w:tcPr>
            <w:tcW w:type="dxa" w:w="420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신뢰 증거로서의 실적 숫자 (부킹액·투자 유치·방문자 수)</w:t>
            </w:r>
          </w:p>
        </w:tc>
        <w:tc>
          <w:tcPr>
            <w:tcW w:type="dxa" w:w="5240"/>
            <w:shd w:fill="F6F8FB" w:color="auto" w:val="clear"/>
            <w:tcMar>
              <w:top w:type="dxa" w:w="100"/>
              <w:left w:type="dxa" w:w="120"/>
              <w:bottom w:type="dxa" w:w="100"/>
              <w:right w:type="dxa" w:w="120"/>
            </w:tcMar>
            <w:vAlign w:val="center"/>
          </w:tcPr>
          <w:p>
            <w:pPr>
              <w:spacing w:after="0" w:line="260"/>
            </w:pPr>
            <w:r>
              <w:rPr>
                <w:rFonts w:ascii="Arial" w:cs="Arial" w:eastAsia="Arial" w:hAnsi="Arial"/>
                <w:b w:val="false"/>
                <w:bCs w:val="false"/>
                <w:color w:val="333333"/>
                <w:sz w:val="18"/>
                <w:szCs w:val="18"/>
              </w:rPr>
              <w:t xml:space="preserve">실적이 실제로 쌓인 뒤 재검토. 초기 단계에 과장된 숫자를 노출하면 오히려 신뢰를 깎을 수 있음</w:t>
            </w:r>
          </w:p>
        </w:tc>
      </w:tr>
    </w:tbl>
    <w:p>
      <w:pPr>
        <w:pStyle w:val="Heading1"/>
        <w:pBdr>
          <w:bottom w:val="single" w:color="0B8F86" w:sz="6" w:space="6"/>
        </w:pBdr>
        <w:spacing w:after="160" w:before="360"/>
      </w:pPr>
      <w:r>
        <w:rPr>
          <w:rFonts w:ascii="Arial" w:cs="Arial" w:eastAsia="Arial" w:hAnsi="Arial"/>
          <w:b/>
          <w:bCs/>
          <w:color w:val="0F1E3D"/>
          <w:sz w:val="26"/>
          <w:szCs w:val="26"/>
        </w:rPr>
        <w:t xml:space="preserve">후속 결정이 필요한 사항</w:t>
      </w:r>
    </w:p>
    <w:p>
      <w:pPr>
        <w:pStyle w:val="ListParagraph"/>
        <w:numPr>
          <w:ilvl w:val="0"/>
          <w:numId w:val="2"/>
        </w:numPr>
        <w:spacing w:after="80" w:line="280"/>
      </w:pPr>
      <w:r>
        <w:rPr>
          <w:rFonts w:ascii="Arial" w:cs="Arial" w:eastAsia="Arial" w:hAnsi="Arial"/>
          <w:b w:val="false"/>
          <w:bCs w:val="false"/>
          <w:color w:val="333333"/>
          <w:sz w:val="20"/>
          <w:szCs w:val="20"/>
        </w:rPr>
        <w:t xml:space="preserve">호텔 커미션 모델 도입 여부와 시점 — 확정되면 반영안 A의 "청구 대상 한정" 원칙이 그대로 유효한지 재확인</w:t>
      </w:r>
    </w:p>
    <w:p>
      <w:pPr>
        <w:pStyle w:val="ListParagraph"/>
        <w:numPr>
          <w:ilvl w:val="0"/>
          <w:numId w:val="2"/>
        </w:numPr>
        <w:spacing w:after="80" w:line="280"/>
      </w:pPr>
      <w:r>
        <w:rPr>
          <w:rFonts w:ascii="Arial" w:cs="Arial" w:eastAsia="Arial" w:hAnsi="Arial"/>
          <w:b w:val="false"/>
          <w:bCs w:val="false"/>
          <w:color w:val="333333"/>
          <w:sz w:val="20"/>
          <w:szCs w:val="20"/>
        </w:rPr>
        <w:t xml:space="preserve">실제 폼 백엔드 구축 (현재 mailto 임시방편) — "담당자가 확인 후 전달" 메시지의 신뢰도는 접수 유실이 없다는 전제에 기반함</w:t>
      </w:r>
    </w:p>
    <w:p>
      <w:pPr>
        <w:pStyle w:val="ListParagraph"/>
        <w:numPr>
          <w:ilvl w:val="0"/>
          <w:numId w:val="2"/>
        </w:numPr>
        <w:spacing w:after="80" w:line="280"/>
      </w:pPr>
      <w:r>
        <w:rPr>
          <w:rFonts w:ascii="Arial" w:cs="Arial" w:eastAsia="Arial" w:hAnsi="Arial"/>
          <w:b w:val="false"/>
          <w:bCs w:val="false"/>
          <w:color w:val="333333"/>
          <w:sz w:val="20"/>
          <w:szCs w:val="20"/>
        </w:rPr>
        <w:t xml:space="preserve">mysteri1984@gmail.com(개인 Gmail, 임시 접수 채널) → 브랜드 도메인 주소 이관 여부</w:t>
      </w:r>
    </w:p>
    <w:p>
      <w:pPr>
        <w:pStyle w:val="ListParagraph"/>
        <w:numPr>
          <w:ilvl w:val="0"/>
          <w:numId w:val="2"/>
        </w:numPr>
        <w:spacing w:after="80" w:line="280"/>
      </w:pPr>
      <w:r>
        <w:rPr>
          <w:rFonts w:ascii="Arial" w:cs="Arial" w:eastAsia="Arial" w:hAnsi="Arial"/>
          <w:b w:val="false"/>
          <w:bCs w:val="false"/>
          <w:color w:val="333333"/>
          <w:sz w:val="20"/>
          <w:szCs w:val="20"/>
        </w:rPr>
        <w:t xml:space="preserve">최소 발송처 수 및 익명 해제 동의 절차 확정 (SOP 4단계·6단계 관련)</w:t>
      </w:r>
    </w:p>
    <w:p>
      <w:pPr>
        <w:pStyle w:val="ListParagraph"/>
        <w:numPr>
          <w:ilvl w:val="0"/>
          <w:numId w:val="2"/>
        </w:numPr>
        <w:spacing w:after="80" w:line="280"/>
      </w:pPr>
      <w:r>
        <w:rPr>
          <w:rFonts w:ascii="Arial" w:cs="Arial" w:eastAsia="Arial" w:hAnsi="Arial"/>
          <w:b w:val="false"/>
          <w:bCs w:val="false"/>
          <w:color w:val="333333"/>
          <w:sz w:val="20"/>
          <w:szCs w:val="20"/>
        </w:rPr>
        <w:t xml:space="preserve">검수 인력 확보 시점 — 접수량이 늘어나면 1인 운영 체제에서 3일 회신 SLA와 "담당자 확인" 문구를 동시에 지키기 어려워질 수 있음</w:t>
      </w:r>
    </w:p>
    <w:p>
      <w:pPr>
        <w:pStyle w:val="Heading1"/>
        <w:pBdr>
          <w:bottom w:val="single" w:color="0B8F86" w:sz="6" w:space="6"/>
        </w:pBdr>
        <w:spacing w:after="160" w:before="360"/>
      </w:pPr>
      <w:r>
        <w:rPr>
          <w:rFonts w:ascii="Arial" w:cs="Arial" w:eastAsia="Arial" w:hAnsi="Arial"/>
          <w:b/>
          <w:bCs/>
          <w:color w:val="0F1E3D"/>
          <w:sz w:val="26"/>
          <w:szCs w:val="26"/>
        </w:rPr>
        <w:t xml:space="preserve">검증 체크리스트</w:t>
      </w:r>
    </w:p>
    <w:p>
      <w:pPr>
        <w:pStyle w:val="ListParagraph"/>
        <w:numPr>
          <w:ilvl w:val="0"/>
          <w:numId w:val="2"/>
        </w:numPr>
        <w:spacing w:after="80" w:line="280"/>
      </w:pPr>
      <w:r>
        <w:rPr>
          <w:rFonts w:ascii="Arial" w:cs="Arial" w:eastAsia="Arial" w:hAnsi="Arial"/>
          <w:b w:val="false"/>
          <w:bCs w:val="false"/>
          <w:color w:val="333333"/>
          <w:sz w:val="20"/>
          <w:szCs w:val="20"/>
        </w:rPr>
        <w:t xml:space="preserve">페이지 내 "수수료 없음" 단독 표기(주어 없이)가 0건인가 — 타이틀·메타 설명 포함</w:t>
      </w:r>
    </w:p>
    <w:p>
      <w:pPr>
        <w:pStyle w:val="ListParagraph"/>
        <w:numPr>
          <w:ilvl w:val="0"/>
          <w:numId w:val="2"/>
        </w:numPr>
        <w:spacing w:after="80" w:line="280"/>
      </w:pPr>
      <w:r>
        <w:rPr>
          <w:rFonts w:ascii="Arial" w:cs="Arial" w:eastAsia="Arial" w:hAnsi="Arial"/>
          <w:b w:val="false"/>
          <w:bCs w:val="false"/>
          <w:color w:val="333333"/>
          <w:sz w:val="20"/>
          <w:szCs w:val="20"/>
        </w:rPr>
        <w:t xml:space="preserve">가격 구성·마진 관련 표현이 0건인가</w:t>
      </w:r>
    </w:p>
    <w:p>
      <w:pPr>
        <w:pStyle w:val="ListParagraph"/>
        <w:numPr>
          <w:ilvl w:val="0"/>
          <w:numId w:val="2"/>
        </w:numPr>
        <w:spacing w:after="80" w:line="280"/>
      </w:pPr>
      <w:r>
        <w:rPr>
          <w:rFonts w:ascii="Arial" w:cs="Arial" w:eastAsia="Arial" w:hAnsi="Arial"/>
          <w:b w:val="false"/>
          <w:bCs w:val="false"/>
          <w:color w:val="333333"/>
          <w:sz w:val="20"/>
          <w:szCs w:val="20"/>
        </w:rPr>
        <w:t xml:space="preserve">"전담/전문/검증된" 등 인력을 과장하는 수식어가 0건인가</w:t>
      </w:r>
    </w:p>
    <w:p>
      <w:pPr>
        <w:pStyle w:val="ListParagraph"/>
        <w:numPr>
          <w:ilvl w:val="0"/>
          <w:numId w:val="2"/>
        </w:numPr>
        <w:spacing w:after="80" w:line="280"/>
      </w:pPr>
      <w:r>
        <w:rPr>
          <w:rFonts w:ascii="Arial" w:cs="Arial" w:eastAsia="Arial" w:hAnsi="Arial"/>
          <w:b w:val="false"/>
          <w:bCs w:val="false"/>
          <w:color w:val="333333"/>
          <w:sz w:val="20"/>
          <w:szCs w:val="20"/>
        </w:rPr>
        <w:t xml:space="preserve">신규 FAQ 삽입 후 아코디언(펼침/접힘)이 기존 항목과 동일하게 정상 동작하는가</w:t>
      </w:r>
    </w:p>
    <w:p>
      <w:pPr>
        <w:pStyle w:val="ListParagraph"/>
        <w:numPr>
          <w:ilvl w:val="0"/>
          <w:numId w:val="2"/>
        </w:numPr>
        <w:spacing w:after="80" w:line="280"/>
      </w:pPr>
      <w:r>
        <w:rPr>
          <w:rFonts w:ascii="Arial" w:cs="Arial" w:eastAsia="Arial" w:hAnsi="Arial"/>
          <w:b w:val="false"/>
          <w:bCs w:val="false"/>
          <w:color w:val="333333"/>
          <w:sz w:val="20"/>
          <w:szCs w:val="20"/>
        </w:rPr>
        <w:t xml:space="preserve">통계 타일·정책 카드·프로세스 스텝의 개수가 반영 전후로 변하지 않았는가 (그리드 레이아웃 보존)</w:t>
      </w:r>
    </w:p>
    <w:p>
      <w:pPr>
        <w:pStyle w:val="ListParagraph"/>
        <w:numPr>
          <w:ilvl w:val="0"/>
          <w:numId w:val="2"/>
        </w:numPr>
        <w:spacing w:after="80" w:line="280"/>
      </w:pPr>
      <w:r>
        <w:rPr>
          <w:rFonts w:ascii="Arial" w:cs="Arial" w:eastAsia="Arial" w:hAnsi="Arial"/>
          <w:b w:val="false"/>
          <w:bCs w:val="false"/>
          <w:color w:val="333333"/>
          <w:sz w:val="20"/>
          <w:szCs w:val="20"/>
        </w:rPr>
        <w:t xml:space="preserve">수정된 모든 문구가 확정 6개 정책 및 SOP 절차와 1:1로 대응되는가 — 근거 없는 신규 약속이 없는가</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2026-08-12T03:21:00.986Z</dcterms:created>
  <dcterms:modified xsi:type="dcterms:W3CDTF">2026-08-12T03:21:00.999Z</dcterms:modified>
</cp:coreProperties>
</file>

<file path=docProps/custom.xml><?xml version="1.0" encoding="utf-8"?>
<Properties xmlns="http://schemas.openxmlformats.org/officeDocument/2006/custom-properties" xmlns:vt="http://schemas.openxmlformats.org/officeDocument/2006/docPropsVTypes"/>
</file>