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b/>
          <w:bCs/>
          <w:sz w:val="28"/>
          <w:szCs w:val="28"/>
        </w:rPr>
        <w:t xml:space="preserve">SelfMap v4 — Clinical Attachment Report Specification</w:t>
      </w:r>
    </w:p>
    <w:p>
      <w:pPr>
        <w:spacing w:after="100"/>
      </w:pPr>
      <w:r>
        <w:t>This file defines the required structure for the Attachment Deep Report when the user selects Clinical mode. This report must be derived entirely from the user's assessment data — not generic relational theory. It should describe how this person approaches closeness, distance, rupture, trust, need, and relational pacing, but only with the degree of certainty the data can support. It should feel psychologically precise and personally recognizable without inventing developmental certainty, attachment injury, or bonding intensity that the dataset has not earned. Follow this structure exactly. Write in full paragraphs, not bullet summaries. Tone: grounded, perceptive, warm-neutral, specific, never inflated.</w:t>
      </w:r>
    </w:p>
    <w:p>
      <w:pPr>
        <w:pStyle w:val="Heading2"/>
        <w:spacing w:before="200" w:after="100"/>
      </w:pPr>
      <w:r>
        <w:rPr>
          <w:b/>
          <w:bCs/>
          <w:sz w:val="24"/>
          <w:szCs w:val="24"/>
        </w:rPr>
        <w:t xml:space="preserve">1. Attachment Overview (3-6 paragraphs)</w:t>
      </w:r>
    </w:p>
    <w:p>
      <w:pPr>
        <w:spacing w:after="100"/>
      </w:pPr>
      <w:r>
        <w:rPr>
          <w:sz w:val="20"/>
          <w:szCs w:val="20"/>
        </w:rPr>
        <w:t xml:space="preserve">Clear, insightful narrative integrating: attachment style (avoidant, anxious, disorganized, mixed), core relational motivation, threat cues, core fears in closeness, how autonomy/intimacy/ambiguity affect the user, nervous system shifts in relational contexts, and how protectors/protest patterns/somatic signals interact with attachment.</w:t>
      </w:r>
    </w:p>
    <w:p>
      <w:r>
        <w:t>Do not force a single attachment style if the data is mixed. If the system shows different responses across load levels or contexts, describe the pattern as conditional rather than flattening it into one label.</w:t>
      </w:r>
    </w:p>
    <w:p>
      <w:r>
        <w:t>When naming the dominant attachment shape, weight repeated high-load relational patterns more heavily than mild relational reactions.</w:t>
      </w:r>
    </w:p>
    <w:p>
      <w:pPr>
        <w:pStyle w:val="Heading2"/>
        <w:spacing w:before="200" w:after="100"/>
      </w:pPr>
      <w:r>
        <w:rPr>
          <w:b/>
          <w:bCs/>
          <w:sz w:val="24"/>
          <w:szCs w:val="24"/>
        </w:rPr>
        <w:t xml:space="preserve">2. Origin Belief + Early Attachment Injury</w:t>
      </w:r>
    </w:p>
    <w:p>
      <w:pPr>
        <w:spacing w:after="100"/>
      </w:pPr>
      <w:r>
        <w:rPr>
          <w:sz w:val="20"/>
          <w:szCs w:val="20"/>
        </w:rPr>
        <w:t xml:space="preserve">Extract the deepest implicit attachment rule learned early in life. Describe: earliest felt truth about connection, where safety was inconsistent, the template internalized, first relational wound pattern, belief formed about self and others. Examples of structure: 'Care is conditional.' 'Need equals danger.' 'Connection disappears when I soften.' Make emotionally coherent, anchored in somatic and behavioral data.</w:t>
      </w:r>
    </w:p>
    <w:p>
      <w:r>
        <w:t>Infer origin beliefs only when they are strongly repeated across multiple relational scenarios, load levels, and protective patterns. Prefer describing the likely relational rule the system learned over constructing a confident childhood story. If the evidence is mixed, keep this section narrower and more conditional. Do not turn one repeated pain pattern into a complete early-history explanation.</w:t>
      </w:r>
    </w:p>
    <w:p>
      <w:pPr>
        <w:pStyle w:val="Heading2"/>
        <w:spacing w:before="200" w:after="100"/>
      </w:pPr>
      <w:r>
        <w:rPr>
          <w:b/>
          <w:bCs/>
          <w:sz w:val="24"/>
          <w:szCs w:val="24"/>
        </w:rPr>
        <w:t xml:space="preserve">3. Working Model of Self and Working Model of Others</w:t>
      </w:r>
    </w:p>
    <w:p>
      <w:pPr>
        <w:spacing w:after="100"/>
      </w:pPr>
      <w:r>
        <w:rPr>
          <w:sz w:val="20"/>
          <w:szCs w:val="20"/>
        </w:rPr>
        <w:t xml:space="preserve">Two subsections, 3-5 sentences each:</w:t>
      </w:r>
    </w:p>
    <w:p>
      <w:pPr>
        <w:spacing w:after="60"/>
      </w:pPr>
      <w:r>
        <w:rPr>
          <w:sz w:val="20"/>
          <w:szCs w:val="20"/>
        </w:rPr>
        <w:t xml:space="preserve">• Working Model of Self: perceived worth, internal expectations, threat sensitivity, relational confidence, approach to closeness</w:t>
      </w:r>
    </w:p>
    <w:p>
      <w:pPr>
        <w:spacing w:after="60"/>
      </w:pPr>
      <w:r>
        <w:rPr>
          <w:sz w:val="20"/>
          <w:szCs w:val="20"/>
        </w:rPr>
        <w:t xml:space="preserve">• Working Model of Others: expectations of reliability, perceived emotional availability, threat interpretation, trust thresholds, assumptions in relational ambiguity</w:t>
      </w:r>
    </w:p>
    <w:p>
      <w:r>
        <w:t>These models must be traceable to repeated data patterns. Keep them specific, but do not make them sound more fixed or global than the evidence supports. If the person appears different in low-pressure versus high-pressure relating, reflect that split clearly.</w:t>
      </w:r>
    </w:p>
    <w:p>
      <w:pPr>
        <w:pStyle w:val="Heading2"/>
        <w:spacing w:before="200" w:after="100"/>
      </w:pPr>
      <w:r>
        <w:rPr>
          <w:b/>
          <w:bCs/>
          <w:sz w:val="24"/>
          <w:szCs w:val="24"/>
        </w:rPr>
        <w:t xml:space="preserve">4. Autonomic Attachment Pattern</w:t>
      </w:r>
    </w:p>
    <w:p>
      <w:pPr>
        <w:spacing w:after="100"/>
      </w:pPr>
      <w:r>
        <w:rPr>
          <w:sz w:val="20"/>
          <w:szCs w:val="20"/>
        </w:rPr>
        <w:t xml:space="preserve">How the nervous system behaves in attachment contexts: baseline state, activation during closeness, activation during ambiguity, shutdown or collapse sequence, physiological signatures (breath, chest, gut, pressure, dissociation tendencies). Connect to Polyvagal logic without quoting theory.</w:t>
      </w:r>
    </w:p>
    <w:p>
      <w:r>
        <w:t>Do not overstate body confidence when somatic data is sparse. Use somatic detail mainly to refine repeated relational state patterns, not to manufacture depth. If movement impulse data is present, use it more heavily than lyrical body inference.</w:t>
      </w:r>
    </w:p>
    <w:p>
      <w:pPr>
        <w:pStyle w:val="Heading2"/>
        <w:spacing w:before="200" w:after="100"/>
      </w:pPr>
      <w:r>
        <w:rPr>
          <w:b/>
          <w:bCs/>
          <w:sz w:val="24"/>
          <w:szCs w:val="24"/>
        </w:rPr>
        <w:t xml:space="preserve">5. Relational Pace Map</w:t>
      </w:r>
    </w:p>
    <w:p>
      <w:pPr>
        <w:spacing w:after="100"/>
      </w:pPr>
      <w:r>
        <w:rPr>
          <w:sz w:val="20"/>
          <w:szCs w:val="20"/>
        </w:rPr>
        <w:t xml:space="preserve">Describe: what slow feels like, what too fast feels like, ideal pace, what disorganizes them, what stabilizes them, how they warm up (or do not), what makes them retreat. Must feel deeply personal, not generic.</w:t>
      </w:r>
    </w:p>
    <w:p>
      <w:r>
        <w:t>Only describe a confident pace profile when the data clearly repeats around closeness, overwhelm, pursuit, retreat, or deepening. If the evidence is thinner, describe what destabilizes pace more than claiming an exact ideal tempo.</w:t>
      </w:r>
    </w:p>
    <w:p>
      <w:pPr>
        <w:pStyle w:val="Heading2"/>
        <w:spacing w:before="200" w:after="100"/>
      </w:pPr>
      <w:r>
        <w:rPr>
          <w:b/>
          <w:bCs/>
          <w:sz w:val="24"/>
          <w:szCs w:val="24"/>
        </w:rPr>
        <w:t xml:space="preserve">6. Protest Sequence Flowchart (Narrative Form)</w:t>
      </w:r>
    </w:p>
    <w:p>
      <w:pPr>
        <w:spacing w:after="100"/>
      </w:pPr>
      <w:r>
        <w:rPr>
          <w:sz w:val="20"/>
          <w:szCs w:val="20"/>
        </w:rPr>
        <w:t xml:space="preserve">Describe the order of protest behaviors when attachment needs are unmet: Primary Protest (first instinctive response), Secondary Protest (what emerges when primary fails), Collapse Pattern (shutdown, minimization, dissociation). Examples of structure: 'First comes withdrawal, then self-blame, then numb collapse.' 'Pursuit spikes first, then narrative acceleration, then a dorsal sink.' Make tailored.</w:t>
      </w:r>
    </w:p>
    <w:p>
      <w:r>
        <w:t>Do not overbuild a single protest sequence from sparse or inconsistent relational data. If multiple protest paths appear, reflect that complexity instead of forcing one dominant flow.</w:t>
      </w:r>
    </w:p>
    <w:p>
      <w:pPr>
        <w:pStyle w:val="Heading2"/>
        <w:spacing w:before="200" w:after="100"/>
      </w:pPr>
      <w:r>
        <w:rPr>
          <w:b/>
          <w:bCs/>
          <w:sz w:val="24"/>
          <w:szCs w:val="24"/>
        </w:rPr>
        <w:t xml:space="preserve">7. Attachment Protectors Map (IFS Integration)</w:t>
      </w:r>
    </w:p>
    <w:p>
      <w:pPr>
        <w:spacing w:after="100"/>
      </w:pPr>
      <w:r>
        <w:rPr>
          <w:sz w:val="20"/>
          <w:szCs w:val="20"/>
        </w:rPr>
        <w:t xml:space="preserve">For each protector in relational dynamics, include: role in attachment, what it fears, when it activates, protective strategy, how it influences closeness/pacing/vulnerability, how it pairs with autonomic shifts. This section links IFS + Attachment + Polyvagal into one map.</w:t>
      </w:r>
    </w:p>
    <w:p>
      <w:r>
        <w:t>Name only clearly supported protective patterns. Prefer fewer, sharper protectors over a crowded map. If one protective strategy explains several relational responses, keep it unified rather than splitting it into multiple speculative figures.</w:t>
      </w:r>
    </w:p>
    <w:p>
      <w:pPr>
        <w:pStyle w:val="Heading2"/>
        <w:spacing w:before="200" w:after="100"/>
      </w:pPr>
      <w:r>
        <w:rPr>
          <w:b/>
          <w:bCs/>
          <w:sz w:val="24"/>
          <w:szCs w:val="24"/>
        </w:rPr>
        <w:t xml:space="preserve">8. Somatic Attachment Markers</w:t>
      </w:r>
    </w:p>
    <w:p>
      <w:pPr>
        <w:spacing w:after="100"/>
      </w:pPr>
      <w:r>
        <w:rPr>
          <w:sz w:val="20"/>
          <w:szCs w:val="20"/>
        </w:rPr>
        <w:t xml:space="preserve">Body signals accompanying attachment activation across: chest, gut, throat, breath, eyes, limbs, overall pressure or collapse. For each area describe: activation marker, ambivalence marker, collapse marker. Use specific language from the user's assessment patterns.</w:t>
      </w:r>
    </w:p>
    <w:p>
      <w:r>
        <w:t>This section must scale to the actual body data. If somatic participation is low, keep the markers broad and conditional. Do not create detailed organ-level certainty from a small number of entries.</w:t>
      </w:r>
    </w:p>
    <w:p>
      <w:pPr>
        <w:pStyle w:val="Heading2"/>
        <w:spacing w:before="200" w:after="100"/>
      </w:pPr>
      <w:r>
        <w:rPr>
          <w:b/>
          <w:bCs/>
          <w:sz w:val="24"/>
          <w:szCs w:val="24"/>
        </w:rPr>
        <w:t xml:space="preserve">9. Attachment Logic Under Stress</w:t>
      </w:r>
    </w:p>
    <w:p>
      <w:pPr>
        <w:spacing w:after="100"/>
      </w:pPr>
      <w:r>
        <w:rPr>
          <w:sz w:val="20"/>
          <w:szCs w:val="20"/>
        </w:rPr>
        <w:t xml:space="preserve">How the user interprets relational uncertainty when stressed. Examples of logic types: catastrophic meaning, self-erasure, hyper-precision, minimization, emotional self-abandonment, pursuit or withdrawal narratives, story acceleration. Should feel predictive and precise.</w:t>
      </w:r>
    </w:p>
    <w:p>
      <w:r>
        <w:t>Keep stress logic tied to repeated scenario patterns, not generic attachment language. The goal is to describe how this person interprets relational stress, not to produce a universally plausible wound narrative.</w:t>
      </w:r>
    </w:p>
    <w:p>
      <w:pPr>
        <w:pStyle w:val="Heading2"/>
        <w:spacing w:before="200" w:after="100"/>
      </w:pPr>
      <w:r>
        <w:rPr>
          <w:b/>
          <w:bCs/>
          <w:sz w:val="24"/>
          <w:szCs w:val="24"/>
        </w:rPr>
        <w:t xml:space="preserve">10. Secure Capacity Inventory</w:t>
      </w:r>
    </w:p>
    <w:p>
      <w:pPr>
        <w:spacing w:after="100"/>
      </w:pPr>
      <w:r>
        <w:rPr>
          <w:sz w:val="20"/>
          <w:szCs w:val="20"/>
        </w:rPr>
        <w:t xml:space="preserve">Secure traits already present, even if small: moments of regulation, accurate emotional tracking, relational clarity, ability to repair, capacity for self-awareness, boundaries, stable warmth. Prevents pathologizing and gives growth direction.</w:t>
      </w:r>
    </w:p>
    <w:p>
      <w:r>
        <w:t>Secure capacity must be earned from repeated evidence of grounded contact, reciprocity, repair tolerance, asking for help, honest vulnerability, or stable relating under pressure. Do not infer secure capacity simply from elegant wording or one-off regulated answers.</w:t>
      </w:r>
    </w:p>
    <w:p>
      <w:pPr>
        <w:pStyle w:val="Heading2"/>
        <w:spacing w:before="200" w:after="100"/>
      </w:pPr>
      <w:r>
        <w:rPr>
          <w:b/>
          <w:bCs/>
          <w:sz w:val="24"/>
          <w:szCs w:val="24"/>
        </w:rPr>
        <w:t xml:space="preserve">11. Tailored Attachment Rituals (exactly 3)</w:t>
      </w:r>
    </w:p>
    <w:p>
      <w:pPr>
        <w:spacing w:after="100"/>
      </w:pPr>
      <w:r>
        <w:rPr>
          <w:sz w:val="20"/>
          <w:szCs w:val="20"/>
        </w:rPr>
        <w:t xml:space="preserve">2 rituals for attachment patterns, 1 ritual for Self-led secure presence.</w:t>
      </w:r>
    </w:p>
    <w:p>
      <w:pPr>
        <w:spacing w:after="100"/>
      </w:pPr>
      <w:r>
        <w:rPr>
          <w:sz w:val="20"/>
          <w:szCs w:val="20"/>
        </w:rPr>
        <w:t xml:space="preserve">Each ritual MUST include: Title, State-Fit (dorsal/sympathetic/freeze/mixed/ventral), Duration, Frequency (daily/weekly/as-needed), Steps (2-6, clear, behaviorally anchored).</w:t>
      </w:r>
    </w:p>
    <w:p>
      <w:pPr>
        <w:spacing w:after="100"/>
      </w:pPr>
      <w:r>
        <w:rPr>
          <w:sz w:val="20"/>
          <w:szCs w:val="20"/>
        </w:rPr>
        <w:t xml:space="preserve">Allowed types: inner dialogue, containment or pacing, gentle exposure to closeness, ambiguity stabilization, grounding before communication, slow-warmth ventral rituals, micro-movements for activation states, boundary-setting micro-practice, somatic orientation, anchoring statements, soft negotiation between protectors and Self. NO trauma exposure.</w:t>
      </w:r>
    </w:p>
    <w:p>
      <w:r>
        <w:t>Match rituals primarily to repeated relational triggers and stress patterns. If somatic data is sparse, do not over-customize rituals around specific body zones.</w:t>
      </w:r>
    </w:p>
    <w:p>
      <w:pPr>
        <w:pStyle w:val="Heading2"/>
        <w:spacing w:before="200" w:after="100"/>
      </w:pPr>
      <w:r>
        <w:rPr>
          <w:b/>
          <w:bCs/>
          <w:sz w:val="24"/>
          <w:szCs w:val="24"/>
        </w:rPr>
        <w:t xml:space="preserve">12. Closing Integration (1 paragraph)</w:t>
      </w:r>
    </w:p>
    <w:p>
      <w:pPr>
        <w:spacing w:after="100"/>
      </w:pPr>
      <w:r>
        <w:rPr>
          <w:sz w:val="20"/>
          <w:szCs w:val="20"/>
        </w:rPr>
        <w:t xml:space="preserve">Summarize: attachment architecture, forward path, how patterns fit into overall system, the capacity for secure relating that is already emerging. Tone: grounded, precise, no reassurance fluff, no optimism inflation.</w:t>
      </w:r>
    </w:p>
    <w:p>
      <w:r>
        <w:t>Do not end with a sweeping attachment thesis unless it has been broadly earned. If the data is mixed, close with the clearest repeated relational rule and its main cost, rather than a totalizing summary.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2026-03-22T14:29:08.689Z</dcterms:created>
  <dcterms:modified xsi:type="dcterms:W3CDTF">2026-03-22T14:29:08.690Z</dcterms:modified>
</cp:coreProperties>
</file>

<file path=docProps/custom.xml><?xml version="1.0" encoding="utf-8"?>
<Properties xmlns="http://schemas.openxmlformats.org/officeDocument/2006/custom-properties" xmlns:vt="http://schemas.openxmlformats.org/officeDocument/2006/docPropsVTypes"/>
</file>