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docxml round-trip fixture</w:t>
      </w:r>
    </w:p>
    <w:p>
      <w:pPr>
        <w:pStyle w:val="Heading1"/>
      </w:pPr>
      <w:r>
        <w:t>Formatting</w:t>
      </w:r>
    </w:p>
    <w:p>
      <w:r>
        <w:t xml:space="preserve">Plain text, then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color w:val="1F4E79"/>
          <w:sz w:val="28"/>
        </w:rPr>
        <w:t>colored 14pt</w:t>
      </w:r>
      <w:r>
        <w:t>, and unicode: naïve façade — “quotes” • ±5µm ✓</w:t>
      </w:r>
    </w:p>
    <w:p>
      <w:pPr>
        <w:pStyle w:val="Heading1"/>
      </w:pPr>
      <w:r>
        <w:t>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p>
      <w:pPr>
        <w:pStyle w:val="Heading1"/>
      </w:pPr>
      <w:r>
        <w:t>Lists</w:t>
      </w:r>
    </w:p>
    <w:p>
      <w:pPr>
        <w:pStyle w:val="ListBullet"/>
      </w:pPr>
      <w:r>
        <w:t>first</w:t>
      </w:r>
    </w:p>
    <w:p>
      <w:pPr>
        <w:pStyle w:val="ListBullet"/>
      </w:pPr>
      <w:r>
        <w:t>second</w:t>
      </w:r>
    </w:p>
    <w:p>
      <w:pPr>
        <w:pStyle w:val="ListBullet"/>
      </w:pPr>
      <w:r>
        <w:t>third</w:t>
      </w:r>
    </w:p>
    <w:p>
      <w:pPr>
        <w:pStyle w:val="ListNumber"/>
      </w:pPr>
      <w:r>
        <w:t>one</w:t>
      </w:r>
    </w:p>
    <w:p>
      <w:pPr>
        <w:pStyle w:val="ListNumber"/>
      </w:pPr>
      <w:r>
        <w:t>two</w:t>
      </w:r>
    </w:p>
    <w:p>
      <w:r>
        <w:br w:type="page"/>
      </w:r>
    </w:p>
    <w:p>
      <w:r>
        <w:t>Second page after an explicit break.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Fixture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Fixture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