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Styles and Fields Fixture</w:t>
      </w:r>
    </w:p>
    <w:p>
      <w:pPr>
        <w:pStyle w:val="Heading1"/>
      </w:pPr>
      <w:r>
        <w:t>Chapter One</w:t>
      </w:r>
    </w:p>
    <w:p>
      <w:r>
        <w:t xml:space="preserve">This chapter introduces the </w:t>
      </w:r>
      <w:r>
        <w:rPr>
          <w:rStyle w:val="FixtureEmphasis"/>
        </w:rPr>
        <w:t>custom character style</w:t>
      </w:r>
      <w:r>
        <w:t xml:space="preserve"> used throughout this fixture.</w:t>
      </w:r>
    </w:p>
    <w:p>
      <w:pPr>
        <w:pStyle w:val="Heading2"/>
      </w:pPr>
      <w:r>
        <w:t>Section 1.1</w:t>
      </w:r>
    </w:p>
    <w:p>
      <w:r>
        <w:t>Body text under a level-2 heading.</w:t>
      </w:r>
    </w:p>
    <w:p>
      <w:pPr>
        <w:pStyle w:val="Heading3"/>
      </w:pPr>
      <w:r>
        <w:t>Section 1.1.1</w:t>
      </w:r>
    </w:p>
    <w:p>
      <w:r>
        <w:t>Body text under a level-3 heading.</w:t>
      </w:r>
    </w:p>
    <w:p>
      <w:pPr>
        <w:pStyle w:val="Heading1"/>
      </w:pPr>
      <w:r>
        <w:t>Chapter Two</w:t>
      </w:r>
    </w:p>
    <w:p>
      <w:r>
        <w:t>A second top-level chapter, for heading-level variety.</w:t>
      </w:r>
    </w:p>
    <w:p>
      <w:pPr>
        <w:pStyle w:val="Heading2"/>
      </w:pPr>
      <w:r>
        <w:t>Section 2.1</w:t>
      </w:r>
    </w:p>
    <w:p>
      <w:r>
        <w:t>More body text.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ixtureEmphasis">
    <w:name w:val="FixtureEmphasis"/>
    <w:rPr>
      <w:b/>
      <w:i/>
      <w:color w:val="B000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