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Concordance des sources par commune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Concordance des sources, commune par commune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atmart_concordance.json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jeanmyril@atmart.ltd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https://explorateur.atmart.ltd/data/atmart_concordance.json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MSPP et OpenStreetMap (santé) ; MENFP et OpenStreetMap (écoles) ; IHSI, UNFPA/OCHA et WorldPop (population)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140 sur 140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n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/>
        </w:rPr>
        <w:t>Aucune autre source ne mesure le même objet</w:t>
      </w:r>
      <w:r>
        <w:rPr>
          <w:b w:val="0"/>
        </w:rPr>
        <w:t xml:space="preserve"> dans le périmètre d'Atmart. Ce jeu est donc INVÉRIFIABLE en l'état — ce qui n'est pas un défaut de qualité, mais une limite de ce qu'on peut affirmer. Une seconde source serait la première amélioration à chercher.</w:t>
      </w:r>
    </w:p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CET INDICE NE NOTE PAS LES TERRITOIRES. Une commune en « fort désaccord » n'est pas une commune mal équipée : c'est une commune sur laquelle nos sources se contredisent. Il mesure l'état de l'information, jamais celui du terrain.</w:t>
      </w:r>
    </w:p>
    <w:p>
      <w:pPr>
        <w:pStyle w:val="ListBullet"/>
      </w:pPr>
      <w:r>
        <w:rPr>
          <w:b w:val="0"/>
        </w:rPr>
        <w:t>Un désaccord ne dit pas QUELLE source se trompe. Sur Gressier, c'est la projection officielle qui est aberrante et le satellite qui s'accorde avec l'IHSI — l'inverse de ce qu'on supposerait.</w:t>
      </w:r>
    </w:p>
    <w:p>
      <w:pPr>
        <w:pStyle w:val="ListBullet"/>
      </w:pPr>
      <w:r>
        <w:rPr>
          <w:b w:val="0"/>
        </w:rPr>
        <w:t>« Invérifiable » n'est pas « fiable » : c'est une famille où une seule source existe, donc où rien ne peut être confronté. C'est souvent plus inquiétant qu'un désaccord visible.</w:t>
      </w:r>
    </w:p>
    <w:p>
      <w:pPr>
        <w:pStyle w:val="ListBullet"/>
      </w:pPr>
      <w:r>
        <w:rPr>
          <w:b w:val="0"/>
        </w:rPr>
        <w:t>Les seuils 1,5 et 3 sont un choix d'Atmart, publié pour être discuté : le produit détaillé permet de recalculer autrement.</w:t>
      </w:r>
    </w:p>
    <w:p>
      <w:pPr>
        <w:pStyle w:val="ListBullet"/>
      </w:pPr>
      <w:r>
        <w:rPr>
          <w:b w:val="0"/>
        </w:rPr>
        <w:t>Aucune source n'est corrigée, aucune moyenne n'est faite : la moyenne d'un chiffre vrai et d'un chiffre faux est un troisième chiffre faux, avec l'autorité d'un calcul.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Les valeurs décrivent un </w:t>
      </w:r>
      <w:r>
        <w:rPr>
          <w:b/>
        </w:rPr>
        <w:t>état mesuré</w:t>
      </w:r>
      <w:r>
        <w:rPr>
          <w:b w:val="0"/>
        </w:rPr>
        <w:t>, jamais une prévision.</w:t>
      </w:r>
    </w:p>
    <w:p>
      <w:pPr>
        <w:pStyle w:val="ListBullet"/>
      </w:pPr>
      <w:r>
        <w:rPr>
          <w:b w:val="0"/>
        </w:rPr>
        <w:t>Aucune causalité ne se lit ici : deux grandeurs corrélées sur 140 communes ne se commandent pas l'une l'autre.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PSP-049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Atmart Data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CC BY 4.0 — attribution « Atmart Data, Explorateur Haïti » ; les sources confrontées gardent chacune leur propre licence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 — production Atmart sur des sources ouvertes, aucune restriction héritée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c'est le socle de la prestation « Atmart Vérifié »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Atmart Data — 18/08/2026, production propre sur sources ouvertes (MSPP décret 12/10/2005 art. 5, MENFP idem, OSM ODbL, IHSI, UNFPA CC BY-IGO, WorldPop CC BY 4.0) — 2026-08-18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